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27DA2">
      <w:pPr>
        <w:spacing w:line="480" w:lineRule="exact"/>
        <w:jc w:val="center"/>
        <w:rPr>
          <w:rFonts w:hint="eastAsia" w:ascii="黑体" w:hAnsi="宋体" w:eastAsia="黑体"/>
          <w:b/>
          <w:color w:val="000000"/>
          <w:sz w:val="32"/>
          <w:szCs w:val="32"/>
        </w:rPr>
      </w:pPr>
      <w:r>
        <w:rPr>
          <w:rFonts w:hint="eastAsia" w:ascii="黑体" w:hAnsi="宋体" w:eastAsia="黑体"/>
          <w:b/>
          <w:color w:val="000000"/>
          <w:sz w:val="32"/>
          <w:szCs w:val="32"/>
          <w:lang w:val="en-US" w:eastAsia="zh-CN"/>
        </w:rPr>
        <w:t>竞 买 须 知</w:t>
      </w:r>
    </w:p>
    <w:p w14:paraId="18AD7056">
      <w:pPr>
        <w:snapToGrid/>
        <w:spacing w:line="380" w:lineRule="exact"/>
        <w:ind w:firstLine="560" w:firstLineChars="200"/>
        <w:rPr>
          <w:rFonts w:hint="eastAsia" w:ascii="宋体" w:hAnsi="宋体" w:eastAsia="宋体" w:cs="宋体"/>
          <w:b w:val="0"/>
          <w:bCs w:val="0"/>
          <w:i w:val="0"/>
          <w:caps w:val="0"/>
          <w:color w:val="333333"/>
          <w:spacing w:val="0"/>
          <w:kern w:val="0"/>
          <w:sz w:val="24"/>
          <w:szCs w:val="24"/>
          <w:u w:val="single"/>
          <w:shd w:val="clear" w:fill="FFFFFF"/>
          <w:lang w:val="en-US" w:eastAsia="zh-CN" w:bidi="ar"/>
        </w:rPr>
      </w:pPr>
      <w:r>
        <w:rPr>
          <w:rFonts w:hint="eastAsia" w:ascii="仿宋" w:hAnsi="仿宋" w:eastAsia="仿宋"/>
          <w:color w:val="000000"/>
          <w:sz w:val="28"/>
          <w:szCs w:val="28"/>
        </w:rPr>
        <w:t>本次拍卖标的为</w:t>
      </w:r>
      <w:r>
        <w:rPr>
          <w:rFonts w:hint="eastAsia" w:ascii="仿宋" w:hAnsi="仿宋" w:eastAsia="仿宋"/>
          <w:color w:val="000000"/>
          <w:sz w:val="28"/>
          <w:szCs w:val="28"/>
          <w:u w:val="single"/>
        </w:rPr>
        <w:t>山东省金融资产管理股份有限公司拥有的山东环日集团有限公司等25户债权（详情见拍卖清单），债权金额合计为1,736,810,244.38元，其中：债权本金余额合计为1,212,845,550.68元，利息合计为522,762,248.41元,费用合计为1,202,445.29元（基准日之后产生的利息，以及与不良贷款债权相关的从权利亦在本次拍卖范围内），整体现状拍卖,最终债权金额、担保等情况以债权资料载明及生效法律文书确认的为准，拍卖人提供的相关资料仅供参考。</w:t>
      </w:r>
    </w:p>
    <w:p w14:paraId="4659F02C">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对上述不良资产</w:t>
      </w:r>
      <w:r>
        <w:rPr>
          <w:rFonts w:hint="eastAsia" w:ascii="仿宋" w:hAnsi="仿宋" w:eastAsia="仿宋"/>
          <w:color w:val="000000"/>
          <w:sz w:val="28"/>
          <w:szCs w:val="28"/>
          <w:lang w:val="en-US" w:eastAsia="zh-CN"/>
        </w:rPr>
        <w:t>债权</w:t>
      </w:r>
      <w:r>
        <w:rPr>
          <w:rFonts w:hint="eastAsia" w:ascii="仿宋" w:hAnsi="仿宋" w:eastAsia="仿宋"/>
          <w:color w:val="000000"/>
          <w:sz w:val="28"/>
          <w:szCs w:val="28"/>
        </w:rPr>
        <w:t>，我公司在此提示风险如下，请竞买人自行把握竞买风险：</w:t>
      </w:r>
    </w:p>
    <w:p w14:paraId="5272478D">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 竞买人已被告知并完全理解，</w:t>
      </w:r>
      <w:r>
        <w:rPr>
          <w:rFonts w:hint="eastAsia" w:ascii="仿宋" w:hAnsi="仿宋" w:eastAsia="仿宋" w:cs="仿宋"/>
          <w:color w:val="auto"/>
          <w:sz w:val="28"/>
          <w:szCs w:val="28"/>
          <w:lang w:eastAsia="zh-CN"/>
        </w:rPr>
        <w:t>山东省金融资产管理股份有限公司（</w:t>
      </w:r>
      <w:r>
        <w:rPr>
          <w:rFonts w:hint="eastAsia" w:ascii="仿宋" w:hAnsi="仿宋" w:eastAsia="仿宋" w:cs="仿宋"/>
          <w:color w:val="auto"/>
          <w:sz w:val="28"/>
          <w:szCs w:val="28"/>
          <w:lang w:val="en-US" w:eastAsia="zh-CN"/>
        </w:rPr>
        <w:t>下简称“委托人”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转让给竞买人的贷款债权，存在或可能存在下列瑕疵或风险，且因</w:t>
      </w:r>
      <w:r>
        <w:rPr>
          <w:rFonts w:hint="eastAsia" w:ascii="仿宋" w:hAnsi="仿宋" w:eastAsia="仿宋" w:cs="仿宋"/>
          <w:color w:val="auto"/>
          <w:sz w:val="28"/>
          <w:szCs w:val="28"/>
          <w:lang w:val="en-US" w:eastAsia="zh-CN"/>
        </w:rPr>
        <w:t>委托人</w:t>
      </w:r>
      <w:r>
        <w:rPr>
          <w:rFonts w:hint="eastAsia" w:ascii="仿宋" w:hAnsi="仿宋" w:eastAsia="仿宋" w:cs="仿宋"/>
          <w:color w:val="auto"/>
          <w:sz w:val="28"/>
          <w:szCs w:val="28"/>
        </w:rPr>
        <w:t>并非贷款债权的原始权利人，</w:t>
      </w:r>
      <w:r>
        <w:rPr>
          <w:rFonts w:hint="eastAsia" w:ascii="仿宋" w:hAnsi="仿宋" w:eastAsia="仿宋" w:cs="仿宋"/>
          <w:color w:val="auto"/>
          <w:sz w:val="28"/>
          <w:szCs w:val="28"/>
          <w:lang w:val="en-US" w:eastAsia="zh-CN"/>
        </w:rPr>
        <w:t>委托人</w:t>
      </w:r>
      <w:r>
        <w:rPr>
          <w:rFonts w:hint="eastAsia" w:ascii="仿宋" w:hAnsi="仿宋" w:eastAsia="仿宋" w:cs="仿宋"/>
          <w:color w:val="auto"/>
          <w:sz w:val="28"/>
          <w:szCs w:val="28"/>
        </w:rPr>
        <w:t>无法对其承继的、由任何第三方制作的贷款债权证明文件的真实性、有效性、准确性和完整性提供保证，以至于竞买人受让贷款债权的预期利益可能无法实现。该等瑕疵或风险包括但不限于下列一项或多项：</w:t>
      </w:r>
    </w:p>
    <w:p w14:paraId="5FC26A18">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 贷款债权系不良资产，存在着部分或全部不能回收的风险特性以及清收的困难性；</w:t>
      </w:r>
    </w:p>
    <w:p w14:paraId="43F719CC">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 由于可能存在的计算误差或其他原因，受让人实际接收的贷款债权金额与《</w:t>
      </w:r>
      <w:r>
        <w:rPr>
          <w:rFonts w:hint="eastAsia" w:ascii="仿宋" w:hAnsi="仿宋" w:eastAsia="仿宋" w:cs="仿宋"/>
          <w:color w:val="auto"/>
          <w:sz w:val="28"/>
          <w:szCs w:val="28"/>
          <w:lang w:val="en-US" w:eastAsia="zh-CN"/>
        </w:rPr>
        <w:t>标的清单</w:t>
      </w:r>
      <w:r>
        <w:rPr>
          <w:rFonts w:hint="eastAsia" w:ascii="仿宋" w:hAnsi="仿宋" w:eastAsia="仿宋" w:cs="仿宋"/>
          <w:color w:val="auto"/>
          <w:sz w:val="28"/>
          <w:szCs w:val="28"/>
        </w:rPr>
        <w:t>》载明的金额可能不完全一致；基于有关司法政策文件，买受人受让贷款债权后向债务人或担保人所能主张并获得司法支持的利息可能与与《</w:t>
      </w:r>
      <w:r>
        <w:rPr>
          <w:rFonts w:hint="eastAsia" w:ascii="仿宋" w:hAnsi="仿宋" w:eastAsia="仿宋" w:cs="仿宋"/>
          <w:color w:val="auto"/>
          <w:sz w:val="28"/>
          <w:szCs w:val="28"/>
          <w:lang w:val="en-US" w:eastAsia="zh-CN"/>
        </w:rPr>
        <w:t>标的清单</w:t>
      </w:r>
      <w:r>
        <w:rPr>
          <w:rFonts w:hint="eastAsia" w:ascii="仿宋" w:hAnsi="仿宋" w:eastAsia="仿宋" w:cs="仿宋"/>
          <w:color w:val="auto"/>
          <w:sz w:val="28"/>
          <w:szCs w:val="28"/>
        </w:rPr>
        <w:t>》中所列明的利息不完全一致；</w:t>
      </w:r>
      <w:bookmarkStart w:id="0" w:name="_GoBack"/>
      <w:bookmarkEnd w:id="0"/>
    </w:p>
    <w:p w14:paraId="33DA37E2">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 贷款债权项下借款人、担保人或其他责任主体可能存在破产、被吊销、被注销、被撤销、解散、关闭、歇业、停业、下落不明、无法查询到相关信息以及其他主体存续性瑕疵的情形；</w:t>
      </w:r>
    </w:p>
    <w:p w14:paraId="6BB73CB0">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 贷款债权可能已超过诉讼、执行时效、法定或约定时效或丧失其他相关的期间利益或因其他原因已部分或全部丧失；</w:t>
      </w:r>
    </w:p>
    <w:p w14:paraId="4EAF4DFB">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 贷款债权项下担保权利可能未生效、无效、消灭或已过诉讼时效等情形；</w:t>
      </w:r>
    </w:p>
    <w:p w14:paraId="0F51686C">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1.6 贷款债权权属文件可能存在缺失（不限于原件）、内容冲突、不真实等相关情形；</w:t>
      </w:r>
    </w:p>
    <w:p w14:paraId="58FBB8AD">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1.7 涉诉贷款债权可能存在全部或部分败诉、不能变更诉讼（含执行）主体、相关诉讼、执行费用未付等情形，涉诉贷款债权可能在交割前已诉讼终结、执行终结或破产终结；</w:t>
      </w:r>
    </w:p>
    <w:p w14:paraId="288200CB">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1.8 贷款债权事实上可能已经全部灭失或部分灭失，存在无法向原主从债务人进行追偿的可能性；</w:t>
      </w:r>
    </w:p>
    <w:p w14:paraId="1B184FA1">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1.9 买受人受让贷款债权后，对该贷款债权在交割日后的利息或罚息请求权，买受人可能无法继续享有；</w:t>
      </w:r>
    </w:p>
    <w:p w14:paraId="72BF79F2">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1.10 买受人受让贷款债权后，可能无法享有委托人所享有的国家法律政策规定的各项优惠条件和特殊保护，包括但不限于税收和诉讼方面的优惠和特殊保护；</w:t>
      </w:r>
    </w:p>
    <w:p w14:paraId="05B19B9C">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1.11 借款人或担保人可能已停产或半停产，以及难以联系到借款人的实际控制人等情形。</w:t>
      </w:r>
    </w:p>
    <w:p w14:paraId="14A49408">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p>
    <w:p w14:paraId="5CC6CB1F">
      <w:pPr>
        <w:keepNext w:val="0"/>
        <w:keepLines w:val="0"/>
        <w:pageBreakBefore w:val="0"/>
        <w:widowControl w:val="0"/>
        <w:kinsoku/>
        <w:wordWrap/>
        <w:overflowPunct/>
        <w:topLinePunct w:val="0"/>
        <w:autoSpaceDE/>
        <w:autoSpaceDN/>
        <w:bidi w:val="0"/>
        <w:adjustRightInd/>
        <w:snapToGrid w:val="0"/>
        <w:spacing w:line="40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委托人、拍卖人</w:t>
      </w:r>
      <w:r>
        <w:rPr>
          <w:rFonts w:hint="eastAsia" w:ascii="仿宋" w:hAnsi="仿宋" w:eastAsia="仿宋" w:cs="仿宋"/>
          <w:color w:val="auto"/>
          <w:sz w:val="28"/>
          <w:szCs w:val="28"/>
        </w:rPr>
        <w:t>对上述瑕疵或风险不发表任何判断性结论，由竞买人自行作出判断，</w:t>
      </w:r>
      <w:r>
        <w:rPr>
          <w:rFonts w:hint="eastAsia" w:ascii="仿宋" w:hAnsi="仿宋" w:eastAsia="仿宋" w:cs="仿宋"/>
          <w:color w:val="auto"/>
          <w:sz w:val="28"/>
          <w:szCs w:val="28"/>
          <w:lang w:eastAsia="zh-CN"/>
        </w:rPr>
        <w:t>拍卖人、</w:t>
      </w:r>
      <w:r>
        <w:rPr>
          <w:rFonts w:hint="eastAsia" w:ascii="仿宋" w:hAnsi="仿宋" w:eastAsia="仿宋" w:cs="仿宋"/>
          <w:color w:val="auto"/>
          <w:sz w:val="28"/>
          <w:szCs w:val="28"/>
          <w:lang w:val="en-US" w:eastAsia="zh-CN"/>
        </w:rPr>
        <w:t>委托人</w:t>
      </w:r>
      <w:r>
        <w:rPr>
          <w:rFonts w:hint="eastAsia" w:ascii="仿宋" w:hAnsi="仿宋" w:eastAsia="仿宋" w:cs="仿宋"/>
          <w:color w:val="auto"/>
          <w:sz w:val="28"/>
          <w:szCs w:val="28"/>
        </w:rPr>
        <w:t>及前手权利人不承担任何责任。</w:t>
      </w:r>
      <w:r>
        <w:rPr>
          <w:rFonts w:hint="eastAsia" w:ascii="仿宋" w:hAnsi="仿宋" w:eastAsia="仿宋" w:cs="仿宋"/>
          <w:color w:val="auto"/>
          <w:sz w:val="28"/>
          <w:szCs w:val="28"/>
          <w:lang w:val="en-US" w:eastAsia="zh-CN"/>
        </w:rPr>
        <w:t>竞买人</w:t>
      </w:r>
      <w:r>
        <w:rPr>
          <w:rFonts w:hint="eastAsia" w:ascii="仿宋" w:hAnsi="仿宋" w:eastAsia="仿宋" w:cs="仿宋"/>
          <w:color w:val="auto"/>
          <w:sz w:val="28"/>
          <w:szCs w:val="28"/>
        </w:rPr>
        <w:t>一经应价，即证明买受人已完整、全面地理解全部上述内容，并充分认知受让拍卖债权可能遭受的一切风险，受让人自愿承担由上述风险造成的一切损失以及不能获得相应预期利益的后果。</w:t>
      </w:r>
    </w:p>
    <w:p w14:paraId="115E8C04">
      <w:pPr>
        <w:spacing w:line="440" w:lineRule="exact"/>
        <w:ind w:firstLine="560" w:firstLineChars="200"/>
        <w:rPr>
          <w:rFonts w:hint="eastAsia" w:ascii="仿宋" w:hAnsi="仿宋" w:eastAsia="仿宋"/>
          <w:color w:val="000000"/>
          <w:sz w:val="28"/>
          <w:szCs w:val="28"/>
        </w:rPr>
      </w:pPr>
    </w:p>
    <w:p w14:paraId="6AB32C9E">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lang w:val="en-US" w:eastAsia="zh-CN"/>
        </w:rPr>
      </w:pPr>
    </w:p>
    <w:p w14:paraId="37447A2B">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竞买人（盖章）：</w:t>
      </w:r>
    </w:p>
    <w:p w14:paraId="757A585E">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 xml:space="preserve">    或委托代理人（签名）：</w:t>
      </w:r>
    </w:p>
    <w:p w14:paraId="0B6B8697">
      <w:pPr>
        <w:spacing w:line="440" w:lineRule="exact"/>
        <w:ind w:firstLine="560" w:firstLineChars="200"/>
        <w:jc w:val="right"/>
        <w:rPr>
          <w:rFonts w:hint="eastAsia" w:ascii="仿宋" w:hAnsi="仿宋" w:eastAsia="仿宋"/>
          <w:color w:val="000000"/>
          <w:sz w:val="28"/>
          <w:szCs w:val="28"/>
        </w:rPr>
      </w:pPr>
    </w:p>
    <w:p w14:paraId="76892A6A">
      <w:pPr>
        <w:spacing w:line="440" w:lineRule="exact"/>
        <w:ind w:firstLine="560" w:firstLineChars="200"/>
        <w:jc w:val="right"/>
        <w:rPr>
          <w:rFonts w:hint="eastAsia" w:ascii="仿宋" w:hAnsi="仿宋" w:eastAsia="仿宋"/>
          <w:color w:val="000000"/>
          <w:sz w:val="28"/>
          <w:szCs w:val="28"/>
        </w:rPr>
      </w:pPr>
    </w:p>
    <w:p w14:paraId="51FFD7BB">
      <w:pPr>
        <w:spacing w:line="440" w:lineRule="exact"/>
        <w:ind w:firstLine="560" w:firstLineChars="200"/>
        <w:jc w:val="right"/>
        <w:rPr>
          <w:rFonts w:hint="eastAsia" w:ascii="仿宋" w:hAnsi="仿宋" w:eastAsia="仿宋"/>
          <w:color w:val="000000"/>
          <w:sz w:val="28"/>
          <w:szCs w:val="28"/>
        </w:rPr>
      </w:pPr>
    </w:p>
    <w:p w14:paraId="77E58916">
      <w:pPr>
        <w:spacing w:line="440" w:lineRule="exact"/>
        <w:ind w:firstLine="560" w:firstLineChars="200"/>
        <w:jc w:val="right"/>
        <w:rPr>
          <w:rFonts w:hint="eastAsia" w:ascii="仿宋" w:hAnsi="仿宋" w:eastAsia="仿宋"/>
          <w:color w:val="000000"/>
          <w:sz w:val="28"/>
          <w:szCs w:val="28"/>
        </w:rPr>
      </w:pPr>
    </w:p>
    <w:p w14:paraId="0F60741F">
      <w:pPr>
        <w:spacing w:line="440" w:lineRule="exact"/>
        <w:ind w:firstLine="560" w:firstLineChars="200"/>
        <w:jc w:val="right"/>
        <w:rPr>
          <w:rFonts w:hint="eastAsia" w:ascii="仿宋" w:hAnsi="仿宋" w:eastAsia="仿宋"/>
          <w:color w:val="000000"/>
          <w:sz w:val="28"/>
          <w:szCs w:val="28"/>
        </w:rPr>
      </w:pPr>
    </w:p>
    <w:p w14:paraId="51D5B3D1">
      <w:pPr>
        <w:spacing w:line="440" w:lineRule="exact"/>
        <w:ind w:firstLine="560" w:firstLineChars="200"/>
        <w:jc w:val="right"/>
        <w:rPr>
          <w:rFonts w:hint="eastAsia" w:ascii="仿宋" w:hAnsi="仿宋" w:eastAsia="仿宋"/>
          <w:color w:val="000000"/>
          <w:sz w:val="28"/>
          <w:szCs w:val="28"/>
        </w:rPr>
      </w:pPr>
    </w:p>
    <w:p w14:paraId="06F48CD8">
      <w:pPr>
        <w:spacing w:line="440" w:lineRule="exact"/>
        <w:ind w:firstLine="560" w:firstLineChars="200"/>
        <w:jc w:val="right"/>
        <w:rPr>
          <w:rFonts w:hint="eastAsia" w:ascii="仿宋" w:hAnsi="仿宋" w:eastAsia="仿宋"/>
          <w:color w:val="000000"/>
          <w:sz w:val="28"/>
          <w:szCs w:val="28"/>
        </w:rPr>
      </w:pPr>
    </w:p>
    <w:p w14:paraId="6633681E">
      <w:pPr>
        <w:spacing w:line="440" w:lineRule="exact"/>
        <w:ind w:firstLine="560" w:firstLineChars="200"/>
        <w:jc w:val="right"/>
        <w:rPr>
          <w:rFonts w:hint="eastAsia" w:ascii="仿宋" w:hAnsi="仿宋" w:eastAsia="仿宋"/>
          <w:color w:val="000000"/>
          <w:sz w:val="28"/>
          <w:szCs w:val="28"/>
        </w:rPr>
      </w:pPr>
    </w:p>
    <w:p w14:paraId="22D7DA15">
      <w:pPr>
        <w:spacing w:line="440" w:lineRule="exact"/>
        <w:ind w:firstLine="560" w:firstLineChars="200"/>
        <w:jc w:val="right"/>
        <w:rPr>
          <w:rFonts w:hint="eastAsia" w:ascii="仿宋" w:hAnsi="仿宋" w:eastAsia="仿宋"/>
          <w:color w:val="000000"/>
          <w:sz w:val="28"/>
          <w:szCs w:val="28"/>
        </w:rPr>
      </w:pPr>
    </w:p>
    <w:p w14:paraId="4CBFC11E">
      <w:pPr>
        <w:spacing w:line="440" w:lineRule="exact"/>
        <w:ind w:firstLine="560" w:firstLineChars="200"/>
        <w:jc w:val="right"/>
        <w:rPr>
          <w:rFonts w:hint="eastAsia" w:ascii="仿宋" w:hAnsi="仿宋" w:eastAsia="仿宋"/>
          <w:color w:val="000000"/>
          <w:sz w:val="28"/>
          <w:szCs w:val="28"/>
        </w:rPr>
      </w:pPr>
    </w:p>
    <w:p w14:paraId="708C1EEA">
      <w:pPr>
        <w:spacing w:line="440" w:lineRule="exact"/>
        <w:ind w:firstLine="560" w:firstLineChars="200"/>
        <w:jc w:val="right"/>
        <w:rPr>
          <w:rFonts w:hint="eastAsia" w:ascii="仿宋" w:hAnsi="仿宋" w:eastAsia="仿宋"/>
          <w:color w:val="000000"/>
          <w:sz w:val="28"/>
          <w:szCs w:val="28"/>
        </w:rPr>
      </w:pPr>
    </w:p>
    <w:p w14:paraId="17E15982">
      <w:pPr>
        <w:spacing w:line="440" w:lineRule="exact"/>
        <w:ind w:firstLine="560" w:firstLineChars="200"/>
        <w:jc w:val="right"/>
        <w:rPr>
          <w:rFonts w:hint="eastAsia" w:ascii="仿宋" w:hAnsi="仿宋" w:eastAsia="仿宋"/>
          <w:color w:val="000000"/>
          <w:sz w:val="28"/>
          <w:szCs w:val="28"/>
        </w:rPr>
      </w:pPr>
    </w:p>
    <w:p w14:paraId="3A4A5FA1">
      <w:pPr>
        <w:spacing w:line="440" w:lineRule="exact"/>
        <w:ind w:firstLine="560" w:firstLineChars="200"/>
        <w:jc w:val="right"/>
        <w:rPr>
          <w:rFonts w:hint="eastAsia" w:ascii="仿宋" w:hAnsi="仿宋" w:eastAsia="仿宋"/>
          <w:color w:val="000000"/>
          <w:sz w:val="28"/>
          <w:szCs w:val="28"/>
        </w:rPr>
      </w:pPr>
    </w:p>
    <w:p w14:paraId="57982173">
      <w:pPr>
        <w:spacing w:line="440" w:lineRule="exact"/>
        <w:ind w:firstLine="560" w:firstLineChars="200"/>
        <w:jc w:val="right"/>
        <w:rPr>
          <w:rFonts w:hint="eastAsia" w:ascii="仿宋" w:hAnsi="仿宋" w:eastAsia="仿宋"/>
          <w:color w:val="000000"/>
          <w:sz w:val="28"/>
          <w:szCs w:val="28"/>
        </w:rPr>
      </w:pPr>
    </w:p>
    <w:p w14:paraId="5FE36F47">
      <w:pPr>
        <w:spacing w:line="440" w:lineRule="exact"/>
        <w:ind w:firstLine="560" w:firstLineChars="200"/>
        <w:jc w:val="right"/>
        <w:rPr>
          <w:rFonts w:hint="eastAsia" w:ascii="仿宋" w:hAnsi="仿宋" w:eastAsia="仿宋"/>
          <w:color w:val="000000"/>
          <w:sz w:val="28"/>
          <w:szCs w:val="28"/>
        </w:rPr>
      </w:pPr>
      <w:r>
        <w:rPr>
          <w:rFonts w:hint="eastAsia" w:ascii="仿宋" w:hAnsi="仿宋" w:eastAsia="仿宋"/>
          <w:color w:val="000000"/>
          <w:sz w:val="28"/>
          <w:szCs w:val="28"/>
        </w:rPr>
        <w:t>光彩银星拍卖有限公司</w:t>
      </w:r>
    </w:p>
    <w:p w14:paraId="492F750C">
      <w:pPr>
        <w:spacing w:line="440" w:lineRule="exact"/>
        <w:ind w:firstLine="560" w:firstLineChars="200"/>
        <w:jc w:val="right"/>
        <w:rPr>
          <w:rFonts w:hint="eastAsia" w:ascii="仿宋" w:hAnsi="仿宋" w:eastAsia="仿宋"/>
          <w:color w:val="000000"/>
          <w:sz w:val="28"/>
          <w:szCs w:val="28"/>
        </w:rPr>
      </w:pPr>
      <w:r>
        <w:rPr>
          <w:rFonts w:hint="eastAsia" w:ascii="仿宋" w:hAnsi="仿宋" w:eastAsia="仿宋"/>
          <w:color w:val="000000"/>
          <w:sz w:val="28"/>
          <w:szCs w:val="28"/>
        </w:rPr>
        <w:t xml:space="preserve">              　　       </w:t>
      </w:r>
      <w:r>
        <w:rPr>
          <w:rFonts w:hint="eastAsia" w:ascii="仿宋" w:hAnsi="仿宋" w:eastAsia="仿宋" w:cs="Times New Roman"/>
          <w:color w:val="000000"/>
          <w:sz w:val="28"/>
          <w:szCs w:val="28"/>
          <w:lang w:val="en-US" w:eastAsia="zh-CN"/>
        </w:rPr>
        <w:t>2026年1月27日</w:t>
      </w:r>
    </w:p>
    <w:sectPr>
      <w:footerReference r:id="rId3" w:type="default"/>
      <w:pgSz w:w="11906" w:h="16838"/>
      <w:pgMar w:top="1066" w:right="1236" w:bottom="1066"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F80B">
    <w:pPr>
      <w:pStyle w:val="7"/>
      <w:rPr>
        <w:rFonts w:hint="eastAsia"/>
      </w:rPr>
    </w:pPr>
    <w:r>
      <w:rPr>
        <w:rFonts w:hint="eastAsia"/>
      </w:rPr>
      <w:t xml:space="preserve">                                           </w:t>
    </w:r>
    <w:r>
      <w:fldChar w:fldCharType="begin"/>
    </w:r>
    <w:r>
      <w:rPr>
        <w:rStyle w:val="13"/>
      </w:rPr>
      <w:instrText xml:space="preserve"> PAGE </w:instrText>
    </w:r>
    <w:r>
      <w:fldChar w:fldCharType="separate"/>
    </w:r>
    <w:r>
      <w:rPr>
        <w:rStyle w:val="13"/>
      </w:rP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DZjZDIxYTY3N2MwYmMzNTlmNDJjMGYyYmY0YTUifQ=="/>
  </w:docVars>
  <w:rsids>
    <w:rsidRoot w:val="00172A27"/>
    <w:rsid w:val="00000B22"/>
    <w:rsid w:val="000107E6"/>
    <w:rsid w:val="0005093E"/>
    <w:rsid w:val="00087F4D"/>
    <w:rsid w:val="000C1FB2"/>
    <w:rsid w:val="00156C84"/>
    <w:rsid w:val="001A10D8"/>
    <w:rsid w:val="00380600"/>
    <w:rsid w:val="00407E1B"/>
    <w:rsid w:val="00411964"/>
    <w:rsid w:val="00493FA1"/>
    <w:rsid w:val="004A7B13"/>
    <w:rsid w:val="00503251"/>
    <w:rsid w:val="00531492"/>
    <w:rsid w:val="005379A1"/>
    <w:rsid w:val="0059204E"/>
    <w:rsid w:val="005D45D0"/>
    <w:rsid w:val="00677725"/>
    <w:rsid w:val="00696159"/>
    <w:rsid w:val="006B3DF6"/>
    <w:rsid w:val="007745EF"/>
    <w:rsid w:val="00776E28"/>
    <w:rsid w:val="00972FCC"/>
    <w:rsid w:val="009E6445"/>
    <w:rsid w:val="00A1557D"/>
    <w:rsid w:val="00A15E89"/>
    <w:rsid w:val="00A602BA"/>
    <w:rsid w:val="00AB16F9"/>
    <w:rsid w:val="00AF5D9E"/>
    <w:rsid w:val="00BB656E"/>
    <w:rsid w:val="00BD078F"/>
    <w:rsid w:val="00C1405E"/>
    <w:rsid w:val="00C169DB"/>
    <w:rsid w:val="00D06D12"/>
    <w:rsid w:val="00D80BE3"/>
    <w:rsid w:val="00DB4569"/>
    <w:rsid w:val="00DF597A"/>
    <w:rsid w:val="00E07736"/>
    <w:rsid w:val="00E3263C"/>
    <w:rsid w:val="00E614E2"/>
    <w:rsid w:val="00E865C2"/>
    <w:rsid w:val="00EE4177"/>
    <w:rsid w:val="00F91415"/>
    <w:rsid w:val="00F970C3"/>
    <w:rsid w:val="00FB0511"/>
    <w:rsid w:val="00FE2755"/>
    <w:rsid w:val="013B3BC3"/>
    <w:rsid w:val="019B1886"/>
    <w:rsid w:val="029F2EAA"/>
    <w:rsid w:val="05B272AB"/>
    <w:rsid w:val="05C8582C"/>
    <w:rsid w:val="05E32322"/>
    <w:rsid w:val="06B1427F"/>
    <w:rsid w:val="091B6180"/>
    <w:rsid w:val="0B436BBC"/>
    <w:rsid w:val="0C882713"/>
    <w:rsid w:val="0CD60484"/>
    <w:rsid w:val="0D0B5C6F"/>
    <w:rsid w:val="0DD16F2B"/>
    <w:rsid w:val="0EE17BF8"/>
    <w:rsid w:val="0F64201F"/>
    <w:rsid w:val="1029032B"/>
    <w:rsid w:val="10744EA1"/>
    <w:rsid w:val="11562B7C"/>
    <w:rsid w:val="11A74E57"/>
    <w:rsid w:val="12ED1A44"/>
    <w:rsid w:val="13525C5E"/>
    <w:rsid w:val="151E573F"/>
    <w:rsid w:val="157D4BDF"/>
    <w:rsid w:val="16DF309E"/>
    <w:rsid w:val="180F7703"/>
    <w:rsid w:val="1A405F82"/>
    <w:rsid w:val="203D1E1B"/>
    <w:rsid w:val="203E3D32"/>
    <w:rsid w:val="21A24D84"/>
    <w:rsid w:val="22D775D0"/>
    <w:rsid w:val="24EC04AE"/>
    <w:rsid w:val="262C38E5"/>
    <w:rsid w:val="26767A40"/>
    <w:rsid w:val="28802805"/>
    <w:rsid w:val="288F06C4"/>
    <w:rsid w:val="29CC3486"/>
    <w:rsid w:val="2D4970B4"/>
    <w:rsid w:val="2EE705ED"/>
    <w:rsid w:val="319F0454"/>
    <w:rsid w:val="31E46D2A"/>
    <w:rsid w:val="328E7C80"/>
    <w:rsid w:val="32D85E1B"/>
    <w:rsid w:val="32DE71D4"/>
    <w:rsid w:val="32F15B31"/>
    <w:rsid w:val="33BA52ED"/>
    <w:rsid w:val="344F3837"/>
    <w:rsid w:val="34D95A2F"/>
    <w:rsid w:val="350332FC"/>
    <w:rsid w:val="35824CBB"/>
    <w:rsid w:val="364041CF"/>
    <w:rsid w:val="36D56EDC"/>
    <w:rsid w:val="3723716F"/>
    <w:rsid w:val="3794180A"/>
    <w:rsid w:val="380F1298"/>
    <w:rsid w:val="3970230F"/>
    <w:rsid w:val="39794CA3"/>
    <w:rsid w:val="39CE564E"/>
    <w:rsid w:val="3AF4543E"/>
    <w:rsid w:val="3BE35D9E"/>
    <w:rsid w:val="3DA66418"/>
    <w:rsid w:val="3DB10FA6"/>
    <w:rsid w:val="3DEA3BE4"/>
    <w:rsid w:val="407A0D74"/>
    <w:rsid w:val="411421CE"/>
    <w:rsid w:val="42A45AE6"/>
    <w:rsid w:val="4322216B"/>
    <w:rsid w:val="43DF701A"/>
    <w:rsid w:val="44454AF5"/>
    <w:rsid w:val="44E13F0F"/>
    <w:rsid w:val="4530620C"/>
    <w:rsid w:val="456E3B75"/>
    <w:rsid w:val="458E38F9"/>
    <w:rsid w:val="45BE3EF9"/>
    <w:rsid w:val="45F41678"/>
    <w:rsid w:val="46115D68"/>
    <w:rsid w:val="465D2D4B"/>
    <w:rsid w:val="46CE3FCB"/>
    <w:rsid w:val="46FB29E3"/>
    <w:rsid w:val="48340614"/>
    <w:rsid w:val="48853BDF"/>
    <w:rsid w:val="48955308"/>
    <w:rsid w:val="48D4393E"/>
    <w:rsid w:val="4A10618D"/>
    <w:rsid w:val="4B982BD6"/>
    <w:rsid w:val="4C4966C7"/>
    <w:rsid w:val="4D016C27"/>
    <w:rsid w:val="4D31441A"/>
    <w:rsid w:val="4E4C0C5D"/>
    <w:rsid w:val="4EB93E21"/>
    <w:rsid w:val="4F390BF3"/>
    <w:rsid w:val="524904A8"/>
    <w:rsid w:val="527032EE"/>
    <w:rsid w:val="52DE10F4"/>
    <w:rsid w:val="53402632"/>
    <w:rsid w:val="5596685A"/>
    <w:rsid w:val="55A2018D"/>
    <w:rsid w:val="56C50EE7"/>
    <w:rsid w:val="59BD1BF1"/>
    <w:rsid w:val="5B0828CC"/>
    <w:rsid w:val="5CBD3F91"/>
    <w:rsid w:val="5DE058AC"/>
    <w:rsid w:val="610A730B"/>
    <w:rsid w:val="61DC4792"/>
    <w:rsid w:val="6280424D"/>
    <w:rsid w:val="62986BDB"/>
    <w:rsid w:val="62CE3E51"/>
    <w:rsid w:val="6308227E"/>
    <w:rsid w:val="63D13582"/>
    <w:rsid w:val="64DF4A2F"/>
    <w:rsid w:val="64F36AD7"/>
    <w:rsid w:val="666305B8"/>
    <w:rsid w:val="67E475FF"/>
    <w:rsid w:val="686776F9"/>
    <w:rsid w:val="691F7503"/>
    <w:rsid w:val="69780FAF"/>
    <w:rsid w:val="69937D30"/>
    <w:rsid w:val="69C340F2"/>
    <w:rsid w:val="6A376E5B"/>
    <w:rsid w:val="6B56310C"/>
    <w:rsid w:val="6D807B87"/>
    <w:rsid w:val="6DAF5865"/>
    <w:rsid w:val="6DF94A8D"/>
    <w:rsid w:val="6F8D5088"/>
    <w:rsid w:val="6FD902CD"/>
    <w:rsid w:val="70CF4496"/>
    <w:rsid w:val="71CA022E"/>
    <w:rsid w:val="72060FAF"/>
    <w:rsid w:val="72351628"/>
    <w:rsid w:val="74C6592B"/>
    <w:rsid w:val="74F3142E"/>
    <w:rsid w:val="752A3B98"/>
    <w:rsid w:val="75482095"/>
    <w:rsid w:val="7AF50549"/>
    <w:rsid w:val="7BCC739F"/>
    <w:rsid w:val="7C1D1021"/>
    <w:rsid w:val="7C4A0820"/>
    <w:rsid w:val="7CB55B55"/>
    <w:rsid w:val="7CFA3A06"/>
    <w:rsid w:val="7FF36D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Body Text Indent"/>
    <w:basedOn w:val="1"/>
    <w:qFormat/>
    <w:uiPriority w:val="0"/>
    <w:pPr>
      <w:spacing w:after="120" w:afterLines="0"/>
      <w:ind w:left="420" w:leftChars="200"/>
    </w:pPr>
  </w:style>
  <w:style w:type="paragraph" w:styleId="4">
    <w:name w:val="Date"/>
    <w:basedOn w:val="1"/>
    <w:next w:val="1"/>
    <w:link w:val="17"/>
    <w:qFormat/>
    <w:uiPriority w:val="0"/>
    <w:pPr>
      <w:ind w:left="100" w:leftChars="2500"/>
    </w:pPr>
    <w:rPr>
      <w:kern w:val="2"/>
      <w:sz w:val="21"/>
      <w:szCs w:val="24"/>
    </w:rPr>
  </w:style>
  <w:style w:type="paragraph" w:styleId="5">
    <w:name w:val="Body Text Indent 2"/>
    <w:basedOn w:val="1"/>
    <w:qFormat/>
    <w:uiPriority w:val="0"/>
    <w:pPr>
      <w:ind w:firstLine="642" w:firstLineChars="200"/>
    </w:pPr>
    <w:rPr>
      <w:rFonts w:eastAsia="仿宋_GB2312"/>
      <w:sz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2"/>
    <w:basedOn w:val="1"/>
    <w:next w:val="1"/>
    <w:qFormat/>
    <w:uiPriority w:val="0"/>
    <w:pPr>
      <w:ind w:left="420" w:leftChars="200"/>
    </w:pPr>
  </w:style>
  <w:style w:type="paragraph" w:customStyle="1" w:styleId="12">
    <w:name w:val="_Style 7"/>
    <w:basedOn w:val="1"/>
    <w:link w:val="11"/>
    <w:qFormat/>
    <w:uiPriority w:val="0"/>
  </w:style>
  <w:style w:type="character" w:styleId="13">
    <w:name w:val="page number"/>
    <w:basedOn w:val="11"/>
    <w:qFormat/>
    <w:uiPriority w:val="0"/>
  </w:style>
  <w:style w:type="paragraph" w:customStyle="1" w:styleId="14">
    <w:name w:val="Char"/>
    <w:basedOn w:val="1"/>
    <w:qFormat/>
    <w:uiPriority w:val="0"/>
  </w:style>
  <w:style w:type="paragraph" w:customStyle="1" w:styleId="15">
    <w:name w:val="默认段落字体 Para Char Char Char Char Char Char Char"/>
    <w:basedOn w:val="1"/>
    <w:qFormat/>
    <w:uiPriority w:val="0"/>
  </w:style>
  <w:style w:type="paragraph" w:customStyle="1" w:styleId="16">
    <w:name w:val=" Char"/>
    <w:basedOn w:val="1"/>
    <w:qFormat/>
    <w:uiPriority w:val="0"/>
  </w:style>
  <w:style w:type="character" w:customStyle="1" w:styleId="17">
    <w:name w:val="日期 Char"/>
    <w:link w:val="4"/>
    <w:qFormat/>
    <w:uiPriority w:val="0"/>
    <w:rPr>
      <w:kern w:val="2"/>
      <w:sz w:val="21"/>
      <w:szCs w:val="24"/>
    </w:rPr>
  </w:style>
  <w:style w:type="character" w:customStyle="1" w:styleId="18">
    <w:name w:val="页眉 Char Char"/>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GWAMCC</Company>
  <Pages>2</Pages>
  <Words>1225</Words>
  <Characters>1309</Characters>
  <Lines>16</Lines>
  <Paragraphs>4</Paragraphs>
  <TotalTime>0</TotalTime>
  <ScaleCrop>false</ScaleCrop>
  <LinksUpToDate>false</LinksUpToDate>
  <CharactersWithSpaces>1351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2009-08-21T00:09:00Z</dcterms:created>
  <dc:creator>陈炜(总公司)</dc:creator>
  <cp:lastModifiedBy>洪力网张海峰18678653936</cp:lastModifiedBy>
  <cp:lastPrinted>2020-09-15T05:38:00Z</cp:lastPrinted>
  <dcterms:modified xsi:type="dcterms:W3CDTF">2026-01-27T00:53:19Z</dcterms:modified>
  <dc:title>附件1：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C4933C50C32445ACBDAF434C41963F1D</vt:lpwstr>
  </property>
  <property fmtid="{D5CDD505-2E9C-101B-9397-08002B2CF9AE}" pid="4" name="KSOTemplateDocerSaveRecord">
    <vt:lpwstr>eyJoZGlkIjoiODMxZDZjZDIxYTY3N2MwYmMzNTlmNDJjMGYyYmY0YTUiLCJ1c2VySWQiOiIzOTE4MzkyMTMifQ==</vt:lpwstr>
  </property>
</Properties>
</file>