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Style w:val="9"/>
          <w:rFonts w:hint="eastAsia" w:ascii="微软雅黑" w:hAnsi="微软雅黑" w:eastAsia="微软雅黑" w:cs="微软雅黑"/>
          <w:i w:val="0"/>
          <w:iCs w:val="0"/>
          <w:caps w:val="0"/>
          <w:color w:val="333333"/>
          <w:spacing w:val="0"/>
          <w:sz w:val="36"/>
          <w:szCs w:val="36"/>
          <w:shd w:val="clear" w:fill="FFFFFF"/>
          <w:lang w:eastAsia="zh-CN"/>
        </w:rPr>
      </w:pPr>
      <w:r>
        <w:rPr>
          <w:rStyle w:val="9"/>
          <w:rFonts w:hint="eastAsia" w:ascii="微软雅黑" w:hAnsi="微软雅黑" w:eastAsia="微软雅黑" w:cs="微软雅黑"/>
          <w:i w:val="0"/>
          <w:iCs w:val="0"/>
          <w:caps w:val="0"/>
          <w:color w:val="333333"/>
          <w:spacing w:val="0"/>
          <w:sz w:val="36"/>
          <w:szCs w:val="36"/>
          <w:shd w:val="clear" w:fill="FFFFFF"/>
        </w:rPr>
        <w:t>重要提示：竞买人报名参加拍卖会前，请先移步</w:t>
      </w:r>
      <w:r>
        <w:rPr>
          <w:rStyle w:val="9"/>
          <w:rFonts w:hint="eastAsia" w:ascii="微软雅黑" w:hAnsi="微软雅黑" w:eastAsia="微软雅黑" w:cs="微软雅黑"/>
          <w:i w:val="0"/>
          <w:iCs w:val="0"/>
          <w:caps w:val="0"/>
          <w:color w:val="FF0000"/>
          <w:spacing w:val="0"/>
          <w:sz w:val="36"/>
          <w:szCs w:val="36"/>
          <w:shd w:val="clear" w:fill="FFFFFF"/>
        </w:rPr>
        <w:t>竞买规则栏</w:t>
      </w:r>
      <w:r>
        <w:rPr>
          <w:rStyle w:val="9"/>
          <w:rFonts w:hint="eastAsia" w:ascii="微软雅黑" w:hAnsi="微软雅黑" w:eastAsia="微软雅黑" w:cs="微软雅黑"/>
          <w:i w:val="0"/>
          <w:iCs w:val="0"/>
          <w:caps w:val="0"/>
          <w:color w:val="333333"/>
          <w:spacing w:val="0"/>
          <w:sz w:val="36"/>
          <w:szCs w:val="36"/>
          <w:shd w:val="clear" w:fill="FFFFFF"/>
        </w:rPr>
        <w:t>查看本次拍卖会的《拍卖规则》、《竞买协议》、《标的展示登记》等</w:t>
      </w:r>
      <w:r>
        <w:rPr>
          <w:rStyle w:val="9"/>
          <w:rFonts w:hint="eastAsia" w:ascii="微软雅黑" w:hAnsi="微软雅黑" w:eastAsia="微软雅黑" w:cs="微软雅黑"/>
          <w:i w:val="0"/>
          <w:iCs w:val="0"/>
          <w:caps w:val="0"/>
          <w:color w:val="FF0000"/>
          <w:spacing w:val="0"/>
          <w:sz w:val="36"/>
          <w:szCs w:val="36"/>
          <w:shd w:val="clear" w:fill="FFFFFF"/>
        </w:rPr>
        <w:t>拍卖文件</w:t>
      </w:r>
      <w:r>
        <w:rPr>
          <w:rStyle w:val="9"/>
          <w:rFonts w:hint="eastAsia" w:ascii="微软雅黑" w:hAnsi="微软雅黑" w:eastAsia="微软雅黑" w:cs="微软雅黑"/>
          <w:i w:val="0"/>
          <w:iCs w:val="0"/>
          <w:caps w:val="0"/>
          <w:color w:val="FF0000"/>
          <w:spacing w:val="0"/>
          <w:sz w:val="36"/>
          <w:szCs w:val="36"/>
          <w:shd w:val="clear" w:fill="FFFFFF"/>
          <w:lang w:eastAsia="zh-CN"/>
        </w:rPr>
        <w:t>。</w:t>
      </w:r>
      <w:r>
        <w:rPr>
          <w:rStyle w:val="9"/>
          <w:rFonts w:hint="eastAsia" w:ascii="微软雅黑" w:hAnsi="微软雅黑" w:eastAsia="微软雅黑" w:cs="微软雅黑"/>
          <w:i w:val="0"/>
          <w:iCs w:val="0"/>
          <w:caps w:val="0"/>
          <w:color w:val="auto"/>
          <w:spacing w:val="0"/>
          <w:sz w:val="36"/>
          <w:szCs w:val="36"/>
          <w:shd w:val="clear" w:fill="FFFFFF"/>
          <w:lang w:val="en-US" w:eastAsia="zh-CN"/>
        </w:rPr>
        <w:t>竞买人</w:t>
      </w:r>
      <w:r>
        <w:rPr>
          <w:rStyle w:val="9"/>
          <w:rFonts w:hint="eastAsia" w:ascii="微软雅黑" w:hAnsi="微软雅黑" w:eastAsia="微软雅黑" w:cs="微软雅黑"/>
          <w:i w:val="0"/>
          <w:iCs w:val="0"/>
          <w:caps w:val="0"/>
          <w:color w:val="333333"/>
          <w:spacing w:val="0"/>
          <w:sz w:val="36"/>
          <w:szCs w:val="36"/>
          <w:shd w:val="clear" w:fill="FFFFFF"/>
          <w:lang w:val="en-US" w:eastAsia="zh-CN"/>
        </w:rPr>
        <w:t>交纳竞买保证金</w:t>
      </w:r>
      <w:r>
        <w:rPr>
          <w:rStyle w:val="9"/>
          <w:rFonts w:hint="eastAsia" w:ascii="微软雅黑" w:hAnsi="微软雅黑" w:eastAsia="微软雅黑" w:cs="微软雅黑"/>
          <w:i w:val="0"/>
          <w:iCs w:val="0"/>
          <w:caps w:val="0"/>
          <w:color w:val="333333"/>
          <w:spacing w:val="0"/>
          <w:sz w:val="36"/>
          <w:szCs w:val="36"/>
          <w:shd w:val="clear" w:fill="FFFFFF"/>
        </w:rPr>
        <w:t>参拍即视为</w:t>
      </w:r>
      <w:r>
        <w:rPr>
          <w:rStyle w:val="9"/>
          <w:rFonts w:hint="eastAsia" w:ascii="微软雅黑" w:hAnsi="微软雅黑" w:eastAsia="微软雅黑" w:cs="微软雅黑"/>
          <w:i w:val="0"/>
          <w:iCs w:val="0"/>
          <w:caps w:val="0"/>
          <w:color w:val="FF0000"/>
          <w:spacing w:val="0"/>
          <w:sz w:val="36"/>
          <w:szCs w:val="36"/>
          <w:shd w:val="clear" w:fill="FFFFFF"/>
        </w:rPr>
        <w:t>认可</w:t>
      </w:r>
      <w:r>
        <w:rPr>
          <w:rStyle w:val="9"/>
          <w:rFonts w:hint="eastAsia" w:ascii="微软雅黑" w:hAnsi="微软雅黑" w:eastAsia="微软雅黑" w:cs="微软雅黑"/>
          <w:i w:val="0"/>
          <w:iCs w:val="0"/>
          <w:caps w:val="0"/>
          <w:color w:val="FF0000"/>
          <w:spacing w:val="0"/>
          <w:sz w:val="36"/>
          <w:szCs w:val="36"/>
          <w:shd w:val="clear" w:fill="FFFFFF"/>
          <w:lang w:val="en-US" w:eastAsia="zh-CN"/>
        </w:rPr>
        <w:t>并接受</w:t>
      </w:r>
      <w:r>
        <w:rPr>
          <w:rStyle w:val="9"/>
          <w:rFonts w:hint="eastAsia" w:ascii="微软雅黑" w:hAnsi="微软雅黑" w:eastAsia="微软雅黑" w:cs="微软雅黑"/>
          <w:i w:val="0"/>
          <w:iCs w:val="0"/>
          <w:caps w:val="0"/>
          <w:color w:val="333333"/>
          <w:spacing w:val="0"/>
          <w:sz w:val="36"/>
          <w:szCs w:val="36"/>
          <w:shd w:val="clear" w:fill="FFFFFF"/>
        </w:rPr>
        <w:t>上述拍卖文件的内容</w:t>
      </w:r>
      <w:r>
        <w:rPr>
          <w:rStyle w:val="9"/>
          <w:rFonts w:hint="eastAsia" w:ascii="微软雅黑" w:hAnsi="微软雅黑" w:eastAsia="微软雅黑" w:cs="微软雅黑"/>
          <w:i w:val="0"/>
          <w:iCs w:val="0"/>
          <w:caps w:val="0"/>
          <w:color w:val="333333"/>
          <w:spacing w:val="0"/>
          <w:sz w:val="36"/>
          <w:szCs w:val="36"/>
          <w:shd w:val="clear" w:fill="FFFFFF"/>
          <w:lang w:val="en-US" w:eastAsia="zh-CN"/>
        </w:rPr>
        <w:t>和条款</w:t>
      </w:r>
      <w:r>
        <w:rPr>
          <w:rStyle w:val="9"/>
          <w:rFonts w:hint="eastAsia" w:ascii="微软雅黑" w:hAnsi="微软雅黑" w:eastAsia="微软雅黑" w:cs="微软雅黑"/>
          <w:i w:val="0"/>
          <w:iCs w:val="0"/>
          <w:caps w:val="0"/>
          <w:color w:val="333333"/>
          <w:spacing w:val="0"/>
          <w:sz w:val="36"/>
          <w:szCs w:val="36"/>
          <w:shd w:val="clear" w:fill="FFFFFF"/>
          <w:lang w:eastAsia="zh-CN"/>
        </w:rPr>
        <w:t>，愿意按照拍卖</w:t>
      </w:r>
      <w:r>
        <w:rPr>
          <w:rStyle w:val="9"/>
          <w:rFonts w:hint="eastAsia" w:ascii="微软雅黑" w:hAnsi="微软雅黑" w:eastAsia="微软雅黑" w:cs="微软雅黑"/>
          <w:i w:val="0"/>
          <w:iCs w:val="0"/>
          <w:caps w:val="0"/>
          <w:color w:val="333333"/>
          <w:spacing w:val="0"/>
          <w:sz w:val="36"/>
          <w:szCs w:val="36"/>
          <w:shd w:val="clear" w:fill="FFFFFF"/>
          <w:lang w:val="en-US" w:eastAsia="zh-CN"/>
        </w:rPr>
        <w:t>文件约定</w:t>
      </w:r>
      <w:r>
        <w:rPr>
          <w:rStyle w:val="9"/>
          <w:rFonts w:hint="eastAsia" w:ascii="微软雅黑" w:hAnsi="微软雅黑" w:eastAsia="微软雅黑" w:cs="微软雅黑"/>
          <w:i w:val="0"/>
          <w:iCs w:val="0"/>
          <w:caps w:val="0"/>
          <w:color w:val="333333"/>
          <w:spacing w:val="0"/>
          <w:sz w:val="36"/>
          <w:szCs w:val="36"/>
          <w:shd w:val="clear" w:fill="FFFFFF"/>
          <w:lang w:eastAsia="zh-CN"/>
        </w:rPr>
        <w:t>参加竞买，拍卖文件无论是否签署均不影响</w:t>
      </w:r>
      <w:r>
        <w:rPr>
          <w:rStyle w:val="9"/>
          <w:rFonts w:hint="eastAsia" w:ascii="微软雅黑" w:hAnsi="微软雅黑" w:eastAsia="微软雅黑" w:cs="微软雅黑"/>
          <w:i w:val="0"/>
          <w:iCs w:val="0"/>
          <w:caps w:val="0"/>
          <w:color w:val="333333"/>
          <w:spacing w:val="0"/>
          <w:sz w:val="36"/>
          <w:szCs w:val="36"/>
          <w:shd w:val="clear" w:fill="FFFFFF"/>
          <w:lang w:val="en-US" w:eastAsia="zh-CN"/>
        </w:rPr>
        <w:t>竞买</w:t>
      </w:r>
      <w:r>
        <w:rPr>
          <w:rStyle w:val="9"/>
          <w:rFonts w:hint="eastAsia" w:ascii="微软雅黑" w:hAnsi="微软雅黑" w:eastAsia="微软雅黑" w:cs="微软雅黑"/>
          <w:i w:val="0"/>
          <w:iCs w:val="0"/>
          <w:caps w:val="0"/>
          <w:color w:val="333333"/>
          <w:spacing w:val="0"/>
          <w:sz w:val="36"/>
          <w:szCs w:val="36"/>
          <w:shd w:val="clear" w:fill="FFFFFF"/>
          <w:lang w:eastAsia="zh-CN"/>
        </w:rPr>
        <w:t>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36"/>
          <w:szCs w:val="36"/>
          <w:shd w:val="clear" w:fill="FFFFFF"/>
        </w:rPr>
        <w:t>标的以实物现状进行拍卖，拍卖人提供的资料仅供参考，不构成承诺，</w:t>
      </w:r>
      <w:r>
        <w:rPr>
          <w:rStyle w:val="9"/>
          <w:rFonts w:hint="eastAsia" w:ascii="微软雅黑" w:hAnsi="微软雅黑" w:eastAsia="微软雅黑" w:cs="微软雅黑"/>
          <w:i w:val="0"/>
          <w:iCs w:val="0"/>
          <w:caps w:val="0"/>
          <w:color w:val="333333"/>
          <w:spacing w:val="0"/>
          <w:sz w:val="36"/>
          <w:szCs w:val="36"/>
          <w:shd w:val="clear" w:fill="FFFFFF"/>
          <w:lang w:val="en-US" w:eastAsia="zh-CN"/>
        </w:rPr>
        <w:t>拍卖人对拍品的真伪和品质不做担保，不承担瑕疵担保责任。</w:t>
      </w:r>
      <w:r>
        <w:rPr>
          <w:rStyle w:val="9"/>
          <w:rFonts w:hint="eastAsia" w:ascii="微软雅黑" w:hAnsi="微软雅黑" w:eastAsia="微软雅黑" w:cs="微软雅黑"/>
          <w:i w:val="0"/>
          <w:iCs w:val="0"/>
          <w:caps w:val="0"/>
          <w:color w:val="333333"/>
          <w:spacing w:val="0"/>
          <w:sz w:val="36"/>
          <w:szCs w:val="36"/>
          <w:shd w:val="clear" w:fill="FFFFFF"/>
        </w:rPr>
        <w:t>请竞买人务必现场查看标的，仔细了解标的情况。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Style w:val="9"/>
          <w:rFonts w:hint="eastAsia" w:ascii="宋体" w:hAnsi="宋体" w:eastAsia="宋体" w:cs="宋体"/>
          <w:b w:val="0"/>
          <w:bCs/>
          <w:i w:val="0"/>
          <w:caps w:val="0"/>
          <w:color w:val="000000" w:themeColor="text1"/>
          <w:spacing w:val="0"/>
          <w:sz w:val="24"/>
          <w:szCs w:val="24"/>
          <w:shd w:val="clear" w:color="auto"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宋体" w:hAnsi="宋体" w:eastAsia="宋体" w:cs="宋体"/>
          <w:b/>
          <w:bCs w:val="0"/>
          <w:i w:val="0"/>
          <w:caps w:val="0"/>
          <w:color w:val="000000" w:themeColor="text1"/>
          <w:spacing w:val="0"/>
          <w:sz w:val="32"/>
          <w:szCs w:val="32"/>
          <w:shd w:val="clear" w:fill="FFFFFF"/>
          <w:lang w:eastAsia="zh-CN"/>
          <w14:textFill>
            <w14:solidFill>
              <w14:schemeClr w14:val="tx1"/>
            </w14:solidFill>
          </w14:textFill>
        </w:rPr>
      </w:pPr>
      <w:r>
        <w:rPr>
          <w:rStyle w:val="9"/>
          <w:rFonts w:hint="eastAsia" w:ascii="宋体" w:hAnsi="宋体" w:eastAsia="宋体" w:cs="宋体"/>
          <w:b/>
          <w:bCs w:val="0"/>
          <w:i w:val="0"/>
          <w:caps w:val="0"/>
          <w:color w:val="000000" w:themeColor="text1"/>
          <w:spacing w:val="0"/>
          <w:sz w:val="32"/>
          <w:szCs w:val="32"/>
          <w:shd w:val="clear" w:fill="FFFFFF"/>
          <w14:textFill>
            <w14:solidFill>
              <w14:schemeClr w14:val="tx1"/>
            </w14:solidFill>
          </w14:textFill>
        </w:rPr>
        <w:t>拍卖规则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200" w:firstLineChars="200"/>
        <w:textAlignment w:val="auto"/>
        <w:rPr>
          <w:rFonts w:hint="eastAsia" w:ascii="宋体" w:hAnsi="宋体" w:eastAsia="宋体" w:cs="宋体"/>
          <w:b w:val="0"/>
          <w:bCs/>
          <w:i w:val="0"/>
          <w:caps w:val="0"/>
          <w:color w:val="000000" w:themeColor="text1"/>
          <w:spacing w:val="0"/>
          <w:sz w:val="10"/>
          <w:szCs w:val="10"/>
          <w:shd w:val="clear" w:fill="FFFFFF"/>
          <w:lang w:eastAsia="zh-CN"/>
          <w14:textFill>
            <w14:solidFill>
              <w14:schemeClr w14:val="tx1"/>
            </w14:solidFill>
          </w14:textFill>
        </w:rPr>
      </w:pP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一、</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本场拍卖会</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在</w:t>
      </w:r>
      <w:r>
        <w:rPr>
          <w:rFonts w:hint="eastAsia" w:ascii="宋体" w:hAnsi="宋体" w:eastAsia="宋体" w:cs="宋体"/>
          <w:b w:val="0"/>
          <w:bCs/>
          <w:color w:val="000000" w:themeColor="text1"/>
          <w:sz w:val="24"/>
          <w:szCs w:val="24"/>
          <w14:textFill>
            <w14:solidFill>
              <w14:schemeClr w14:val="tx1"/>
            </w14:solidFill>
          </w14:textFill>
        </w:rPr>
        <w:t>洪力拍卖平台</w:t>
      </w:r>
      <w:r>
        <w:rPr>
          <w:rFonts w:hint="eastAsia"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www.honglipai.net</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公众号：洪力</w:t>
      </w:r>
      <w:r>
        <w:rPr>
          <w:rFonts w:hint="eastAsia" w:ascii="宋体" w:hAnsi="宋体" w:eastAsia="宋体" w:cs="宋体"/>
          <w:b w:val="0"/>
          <w:bCs/>
          <w:color w:val="000000" w:themeColor="text1"/>
          <w:sz w:val="24"/>
          <w:szCs w:val="24"/>
          <w:lang w:val="en-US" w:eastAsia="zh-CN"/>
          <w14:textFill>
            <w14:solidFill>
              <w14:schemeClr w14:val="tx1"/>
            </w14:solidFill>
          </w14:textFill>
        </w:rPr>
        <w:t>,以下简称洪力)</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进行，竞买人应自行注册</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洪力平台</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账号</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竞买人参加本场拍卖会即视为同意认可本拍卖规则内容。</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二、本次拍卖标的为</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：书画资产七幅，整体打包拍卖</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现状拍卖，拍卖人对拍卖标的是否存在法律纠纷、标的真伪、品质、可能存在的瑕疵等不做任何保证，拍卖人不承担瑕疵担保责任。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竞买人须于拍卖会前自行认真了解标的情况，自行核对标的相关信息，拍卖人提供的拍卖标的的相关资料仅供参考</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由于竞买人对标的了解不彻底</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或者有误</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所造成的损失与拍卖人、委托人无关，委托人和拍卖人对以上事项不承担任何责任和费用。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三、</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竞买人须保管好自己的账号和密码，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凡在</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洪力</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平台上以竞买人的帐号和密码登陆后进行的操作，均被视为竞买人的行为，竞买人应当对以其帐号进行的所有活动和事件负法律责任。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由于网络环境因素，网络拍卖过程中，如遇不可抗力，包括但不限于网络不通畅、</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洪力</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平台出现故</w:t>
      </w:r>
      <w:bookmarkStart w:id="0" w:name="_GoBack"/>
      <w:bookmarkEnd w:id="0"/>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平台进行网络拍卖的竞买人，承诺已经对可能发生的故障有充分准备，并放弃因此类故障要求委托人和拍卖人承担任何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四、本次拍卖以增价方式进行</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标的</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自由竞价</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时间</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为</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60分钟</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，延时时长为</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分钟。竞买人报价金额的币种仅限为人民币，</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单位为元，竞买人</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出价前须仔细核对出价金额及单位，确认无误后方可出价，</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一旦出价成功，则不可撤回或者撤销</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五、买受人须于拍卖成交之日起</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日内持身份证明及复印件到拍卖公司指定地点签署《拍卖成交确认书》</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等拍卖文件，但拍卖文件是否签署不影响网络成交的效力</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六</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、若竞买人未能竞得拍卖标的，保证金在拍卖结束后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个工作日内无息返还竞买人。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七、</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本《拍卖规则》解释权归光彩银星拍卖有限公司。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竞买人已经在展示时间内认真查看了上述拍卖标的物，了解标的物一切现状，愿意按照标的物的现状参加竞买，对标的物公开展示无异议，认可</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接受本《拍卖规则》的一切内容，并收到了本《拍卖规则》。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 w:right="0" w:firstLine="480" w:firstLineChars="200"/>
        <w:jc w:val="left"/>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 w:right="0" w:firstLine="480" w:firstLineChars="200"/>
        <w:jc w:val="right"/>
        <w:textAlignment w:val="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 w:right="0" w:firstLine="480" w:firstLineChars="200"/>
        <w:jc w:val="right"/>
        <w:textAlignment w:val="auto"/>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光彩银星拍卖有限公司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15" w:right="0" w:firstLine="480" w:firstLineChars="200"/>
        <w:jc w:val="right"/>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xml:space="preserve">2023年10月26日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竞买协议</w:t>
      </w:r>
    </w:p>
    <w:p>
      <w:pPr>
        <w:jc w:val="center"/>
        <w:rPr>
          <w:rFonts w:hint="eastAsia" w:ascii="黑体" w:hAnsi="黑体" w:eastAsia="黑体"/>
          <w:sz w:val="10"/>
          <w:szCs w:val="10"/>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拍卖人（甲方）：光彩银星拍卖有限公司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竞买人（乙方）：</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0"/>
          <w:szCs w:val="10"/>
          <w:u w:val="single"/>
        </w:rPr>
      </w:pP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585"/>
        <w:jc w:val="both"/>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 xml:space="preserve"> </w:t>
      </w:r>
      <w:r>
        <w:rPr>
          <w:rFonts w:hint="eastAsia" w:ascii="宋体" w:hAnsi="宋体" w:eastAsia="宋体" w:cs="宋体"/>
          <w:color w:val="auto"/>
          <w:sz w:val="24"/>
          <w:szCs w:val="24"/>
        </w:rPr>
        <w:t>依据《中华人民共和国拍卖法》及相关法律、法规的规定，甲乙双方就乙方报名参与竞买</w:t>
      </w:r>
      <w:r>
        <w:rPr>
          <w:rFonts w:hint="eastAsia" w:ascii="宋体" w:hAnsi="宋体" w:eastAsia="宋体" w:cs="宋体"/>
          <w:color w:val="auto"/>
          <w:sz w:val="24"/>
          <w:szCs w:val="24"/>
          <w:lang w:val="en-US" w:eastAsia="zh-CN"/>
        </w:rPr>
        <w:t>书画资产七幅</w:t>
      </w:r>
      <w:r>
        <w:rPr>
          <w:rFonts w:hint="eastAsia" w:ascii="宋体" w:hAnsi="宋体" w:eastAsia="宋体" w:cs="宋体"/>
          <w:color w:val="auto"/>
          <w:sz w:val="24"/>
          <w:szCs w:val="24"/>
        </w:rPr>
        <w:t>达成如下协议：</w:t>
      </w:r>
    </w:p>
    <w:p>
      <w:pPr>
        <w:keepNext w:val="0"/>
        <w:keepLines w:val="0"/>
        <w:pageBreakBefore w:val="0"/>
        <w:widowControl w:val="0"/>
        <w:numPr>
          <w:ilvl w:val="0"/>
          <w:numId w:val="0"/>
        </w:numPr>
        <w:kinsoku/>
        <w:wordWrap/>
        <w:overflowPunct/>
        <w:topLinePunct w:val="0"/>
        <w:autoSpaceDE/>
        <w:bidi w:val="0"/>
        <w:adjustRightInd/>
        <w:snapToGrid/>
        <w:spacing w:line="360" w:lineRule="auto"/>
        <w:ind w:right="0" w:rightChars="0"/>
        <w:jc w:val="both"/>
        <w:textAlignment w:val="auto"/>
        <w:outlineLvl w:val="9"/>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lang w:val="en-US" w:eastAsia="zh-CN"/>
        </w:rPr>
        <w:t xml:space="preserve">    一、</w:t>
      </w:r>
      <w:r>
        <w:rPr>
          <w:rFonts w:hint="eastAsia" w:ascii="宋体" w:hAnsi="宋体" w:eastAsia="宋体" w:cs="宋体"/>
          <w:color w:val="auto"/>
          <w:sz w:val="24"/>
          <w:szCs w:val="24"/>
          <w:lang w:eastAsia="zh-CN"/>
        </w:rPr>
        <w:t>甲方于202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日1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eastAsia="zh-CN"/>
        </w:rPr>
        <w:t>时在</w:t>
      </w:r>
      <w:r>
        <w:rPr>
          <w:rFonts w:hint="eastAsia" w:ascii="宋体" w:hAnsi="宋体" w:eastAsia="宋体" w:cs="宋体"/>
          <w:color w:val="auto"/>
          <w:sz w:val="24"/>
          <w:szCs w:val="24"/>
          <w:lang w:val="en-US" w:eastAsia="zh-CN"/>
        </w:rPr>
        <w:t>洪力公益拍卖平台(网址:https://www.honglipai.net/，公众号：洪力)</w:t>
      </w:r>
      <w:r>
        <w:rPr>
          <w:rFonts w:hint="eastAsia" w:ascii="宋体" w:hAnsi="宋体" w:eastAsia="宋体" w:cs="宋体"/>
          <w:color w:val="auto"/>
          <w:sz w:val="24"/>
          <w:szCs w:val="24"/>
          <w:u w:val="none"/>
        </w:rPr>
        <w:t>举行</w:t>
      </w:r>
      <w:r>
        <w:rPr>
          <w:rFonts w:hint="eastAsia" w:ascii="宋体" w:hAnsi="宋体" w:eastAsia="宋体" w:cs="宋体"/>
          <w:color w:val="auto"/>
          <w:sz w:val="24"/>
          <w:szCs w:val="24"/>
          <w:u w:val="none"/>
          <w:lang w:val="en-US" w:eastAsia="zh-CN"/>
        </w:rPr>
        <w:t>网络</w:t>
      </w:r>
      <w:r>
        <w:rPr>
          <w:rFonts w:hint="eastAsia" w:ascii="宋体" w:hAnsi="宋体" w:eastAsia="宋体" w:cs="宋体"/>
          <w:color w:val="auto"/>
          <w:sz w:val="24"/>
          <w:szCs w:val="24"/>
          <w:u w:val="none"/>
        </w:rPr>
        <w:t>拍卖。乙方在拍卖公告规定的展示时间内详细了解了拍卖标的物的现状，并实地察看了标的及标的的有关资料。拍卖标的以公开展示时的现状为准</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甲方已知的标的情况已经告知乙方，</w:t>
      </w:r>
      <w:r>
        <w:rPr>
          <w:rFonts w:hint="eastAsia" w:ascii="宋体" w:hAnsi="宋体" w:eastAsia="宋体" w:cs="宋体"/>
          <w:color w:val="auto"/>
          <w:sz w:val="24"/>
          <w:szCs w:val="24"/>
          <w:u w:val="none"/>
        </w:rPr>
        <w:t>甲方对拍卖标的是否存在法律纠纷、标的</w:t>
      </w:r>
      <w:r>
        <w:rPr>
          <w:rFonts w:hint="eastAsia" w:ascii="宋体" w:hAnsi="宋体" w:eastAsia="宋体" w:cs="宋体"/>
          <w:color w:val="auto"/>
          <w:sz w:val="24"/>
          <w:szCs w:val="24"/>
          <w:u w:val="none"/>
          <w:lang w:val="en-US" w:eastAsia="zh-CN"/>
        </w:rPr>
        <w:t>真伪、</w:t>
      </w:r>
      <w:r>
        <w:rPr>
          <w:rFonts w:hint="eastAsia" w:ascii="宋体" w:hAnsi="宋体" w:eastAsia="宋体" w:cs="宋体"/>
          <w:color w:val="auto"/>
          <w:sz w:val="24"/>
          <w:szCs w:val="24"/>
          <w:u w:val="none"/>
        </w:rPr>
        <w:t>品质</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可能存在的瑕疵</w:t>
      </w:r>
      <w:r>
        <w:rPr>
          <w:rFonts w:hint="eastAsia" w:ascii="宋体" w:hAnsi="宋体" w:eastAsia="宋体" w:cs="宋体"/>
          <w:color w:val="auto"/>
          <w:sz w:val="24"/>
          <w:szCs w:val="24"/>
          <w:u w:val="none"/>
          <w:lang w:eastAsia="zh-CN"/>
        </w:rPr>
        <w:t>等</w:t>
      </w:r>
      <w:r>
        <w:rPr>
          <w:rFonts w:hint="eastAsia" w:ascii="宋体" w:hAnsi="宋体" w:eastAsia="宋体" w:cs="宋体"/>
          <w:color w:val="auto"/>
          <w:sz w:val="24"/>
          <w:szCs w:val="24"/>
          <w:u w:val="none"/>
        </w:rPr>
        <w:t>不做任何保证，不承担瑕疵担保责任。</w:t>
      </w:r>
    </w:p>
    <w:p>
      <w:pPr>
        <w:pStyle w:val="6"/>
        <w:keepNext w:val="0"/>
        <w:keepLines w:val="0"/>
        <w:pageBreakBefore w:val="0"/>
        <w:widowControl/>
        <w:kinsoku/>
        <w:wordWrap/>
        <w:overflowPunct/>
        <w:topLinePunct w:val="0"/>
        <w:autoSpaceDE/>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none"/>
          <w:lang w:eastAsia="zh-CN"/>
        </w:rPr>
        <w:t>具体拍卖标的如下：</w:t>
      </w:r>
      <w:r>
        <w:rPr>
          <w:rFonts w:hint="eastAsia" w:ascii="宋体" w:hAnsi="宋体" w:eastAsia="宋体" w:cs="宋体"/>
          <w:color w:val="auto"/>
          <w:sz w:val="24"/>
          <w:szCs w:val="24"/>
          <w:lang w:val="en-US" w:eastAsia="zh-CN"/>
        </w:rPr>
        <w:t>书画资产七幅，整体打包拍卖</w:t>
      </w:r>
      <w:r>
        <w:rPr>
          <w:rFonts w:hint="eastAsia" w:ascii="宋体" w:hAnsi="宋体" w:eastAsia="宋体" w:cs="宋体"/>
          <w:color w:val="auto"/>
          <w:sz w:val="24"/>
          <w:szCs w:val="24"/>
        </w:rPr>
        <w:t>。</w:t>
      </w:r>
    </w:p>
    <w:p>
      <w:pPr>
        <w:pStyle w:val="6"/>
        <w:keepNext w:val="0"/>
        <w:keepLines w:val="0"/>
        <w:pageBreakBefore w:val="0"/>
        <w:widowControl/>
        <w:kinsoku/>
        <w:wordWrap/>
        <w:overflowPunct/>
        <w:topLinePunct w:val="0"/>
        <w:autoSpaceDE/>
        <w:bidi w:val="0"/>
        <w:adjustRightInd/>
        <w:snapToGrid/>
        <w:spacing w:beforeAutospacing="0" w:afterAutospacing="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拍品详情如下(以下资料仅供参考，具体以标的展示实物现状为准)：</w:t>
      </w:r>
    </w:p>
    <w:tbl>
      <w:tblPr>
        <w:tblStyle w:val="7"/>
        <w:tblW w:w="830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38"/>
        <w:gridCol w:w="1500"/>
        <w:gridCol w:w="1637"/>
        <w:gridCol w:w="1200"/>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作者</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作品名称</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质地</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形式</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尺寸（cm)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蒋兆和</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人物</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水墨纸本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镜心</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41X28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黄胄</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人物</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设色纸本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镜心</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59X41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3</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亚明</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拜石图</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设色纸本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立轴</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69X45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4</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黄胄</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人物</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设色纸本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镜心</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68X51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5</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启功</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书法</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水墨纸本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立轴</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70X42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6</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启功</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书法</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水墨纸本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立轴</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137X64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62"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7</w:t>
            </w:r>
          </w:p>
        </w:tc>
        <w:tc>
          <w:tcPr>
            <w:tcW w:w="1338"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张问陶</w:t>
            </w:r>
          </w:p>
        </w:tc>
        <w:tc>
          <w:tcPr>
            <w:tcW w:w="15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花鸟</w:t>
            </w:r>
          </w:p>
        </w:tc>
        <w:tc>
          <w:tcPr>
            <w:tcW w:w="1637"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设色纸本</w:t>
            </w:r>
          </w:p>
        </w:tc>
        <w:tc>
          <w:tcPr>
            <w:tcW w:w="1200"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立轴</w:t>
            </w:r>
          </w:p>
        </w:tc>
        <w:tc>
          <w:tcPr>
            <w:tcW w:w="1763" w:type="dxa"/>
            <w:shd w:val="clear" w:color="auto" w:fill="auto"/>
            <w:noWrap/>
            <w:vAlign w:val="top"/>
          </w:tcPr>
          <w:p>
            <w:pPr>
              <w:spacing w:line="360" w:lineRule="auto"/>
              <w:ind w:firstLine="120" w:firstLineChars="50"/>
              <w:jc w:val="center"/>
              <w:rPr>
                <w:rFonts w:hint="eastAsia" w:ascii="宋体" w:hAnsi="宋体" w:eastAsia="宋体" w:cs="宋体"/>
                <w:b w:val="0"/>
                <w:bCs w:val="0"/>
                <w:sz w:val="24"/>
              </w:rPr>
            </w:pPr>
            <w:r>
              <w:rPr>
                <w:rFonts w:hint="eastAsia" w:ascii="宋体" w:hAnsi="宋体" w:eastAsia="宋体" w:cs="宋体"/>
                <w:b w:val="0"/>
                <w:bCs w:val="0"/>
                <w:sz w:val="24"/>
              </w:rPr>
              <w:t>125X55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二、</w:t>
      </w:r>
      <w:r>
        <w:rPr>
          <w:rFonts w:hint="eastAsia" w:ascii="宋体" w:hAnsi="宋体" w:eastAsia="宋体" w:cs="宋体"/>
          <w:sz w:val="24"/>
          <w:szCs w:val="24"/>
          <w:u w:val="none"/>
        </w:rPr>
        <w:t>本场拍卖会的拍卖方式为：增价拍卖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三、</w:t>
      </w:r>
      <w:r>
        <w:rPr>
          <w:rFonts w:hint="eastAsia" w:ascii="宋体" w:hAnsi="宋体" w:eastAsia="宋体" w:cs="宋体"/>
          <w:sz w:val="24"/>
          <w:szCs w:val="24"/>
          <w:u w:val="none"/>
        </w:rPr>
        <w:t>乙方</w:t>
      </w:r>
      <w:r>
        <w:rPr>
          <w:rFonts w:hint="eastAsia" w:ascii="宋体" w:hAnsi="宋体" w:eastAsia="宋体" w:cs="宋体"/>
          <w:sz w:val="24"/>
          <w:szCs w:val="24"/>
          <w:u w:val="none"/>
          <w:lang w:val="en-US" w:eastAsia="zh-CN"/>
        </w:rPr>
        <w:t>已经按照拍卖公告的要求向甲方支付竞买保证金人民币叁拾万元整(300,000.00)</w:t>
      </w:r>
      <w:r>
        <w:rPr>
          <w:rFonts w:hint="eastAsia" w:ascii="宋体" w:hAnsi="宋体" w:eastAsia="宋体" w:cs="宋体"/>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四、</w:t>
      </w:r>
      <w:r>
        <w:rPr>
          <w:rFonts w:hint="eastAsia" w:ascii="宋体" w:hAnsi="宋体" w:eastAsia="宋体" w:cs="宋体"/>
          <w:sz w:val="24"/>
          <w:szCs w:val="24"/>
          <w:u w:val="none"/>
        </w:rPr>
        <w:t>甲方已提请乙方详细阅读</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竞买协议</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《拍卖规则》，并对</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竞买协议</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《拍卖规则》各条款作全面、准确的理解，因乙方对</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竞买协议</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《拍卖规则》理解有误而导致的损失，由乙方自行承担。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五、</w:t>
      </w:r>
      <w:r>
        <w:rPr>
          <w:rFonts w:hint="eastAsia" w:ascii="宋体" w:hAnsi="宋体" w:eastAsia="宋体" w:cs="宋体"/>
          <w:sz w:val="24"/>
          <w:szCs w:val="24"/>
          <w:u w:val="none"/>
        </w:rPr>
        <w:t>拍卖前委托人如按法律、法规的有关规定撤回委托，乙方应服从。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六、</w:t>
      </w:r>
      <w:r>
        <w:rPr>
          <w:rFonts w:hint="eastAsia" w:ascii="宋体" w:hAnsi="宋体" w:eastAsia="宋体" w:cs="宋体"/>
          <w:sz w:val="24"/>
          <w:szCs w:val="24"/>
          <w:u w:val="none"/>
        </w:rPr>
        <w:t>若乙方竞买成功，则：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甲乙双方</w:t>
      </w:r>
      <w:r>
        <w:rPr>
          <w:rFonts w:hint="eastAsia" w:ascii="宋体" w:hAnsi="宋体" w:eastAsia="宋体" w:cs="宋体"/>
          <w:sz w:val="24"/>
          <w:szCs w:val="24"/>
          <w:u w:val="none"/>
          <w:lang w:val="en-US" w:eastAsia="zh-CN"/>
        </w:rPr>
        <w:t>拍卖成交2日内</w:t>
      </w:r>
      <w:r>
        <w:rPr>
          <w:rFonts w:hint="eastAsia" w:ascii="宋体" w:hAnsi="宋体" w:eastAsia="宋体" w:cs="宋体"/>
          <w:sz w:val="24"/>
          <w:szCs w:val="24"/>
          <w:u w:val="none"/>
        </w:rPr>
        <w:t>签署《拍卖成交确认书》和《拍卖笔录》等有关</w:t>
      </w:r>
      <w:r>
        <w:rPr>
          <w:rFonts w:hint="eastAsia" w:ascii="宋体" w:hAnsi="宋体" w:eastAsia="宋体" w:cs="宋体"/>
          <w:sz w:val="24"/>
          <w:szCs w:val="24"/>
          <w:u w:val="none"/>
          <w:lang w:val="en-US" w:eastAsia="zh-CN"/>
        </w:rPr>
        <w:t>拍卖</w:t>
      </w:r>
      <w:r>
        <w:rPr>
          <w:rFonts w:hint="eastAsia" w:ascii="宋体" w:hAnsi="宋体" w:eastAsia="宋体" w:cs="宋体"/>
          <w:sz w:val="24"/>
          <w:szCs w:val="24"/>
          <w:u w:val="none"/>
        </w:rPr>
        <w:t>文书。</w:t>
      </w:r>
    </w:p>
    <w:p>
      <w:pPr>
        <w:pStyle w:val="5"/>
        <w:keepNext w:val="0"/>
        <w:keepLines w:val="0"/>
        <w:pageBreakBefore w:val="0"/>
        <w:widowControl w:val="0"/>
        <w:tabs>
          <w:tab w:val="left" w:pos="4598"/>
        </w:tabs>
        <w:kinsoku/>
        <w:wordWrap/>
        <w:overflowPunct/>
        <w:topLinePunct w:val="0"/>
        <w:autoSpaceDE/>
        <w:autoSpaceDN/>
        <w:bidi w:val="0"/>
        <w:adjustRightInd/>
        <w:snapToGrid/>
        <w:spacing w:line="360" w:lineRule="auto"/>
        <w:ind w:left="-105" w:leftChars="-50" w:right="-88" w:rightChars="-42" w:firstLine="568" w:firstLineChars="237"/>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乙方同意自拍卖成交之日起</w:t>
      </w:r>
      <w:r>
        <w:rPr>
          <w:rFonts w:hint="eastAsia" w:ascii="宋体" w:hAnsi="宋体" w:eastAsia="宋体" w:cs="宋体"/>
          <w:sz w:val="24"/>
          <w:szCs w:val="24"/>
          <w:u w:val="none"/>
          <w:lang w:val="en-US" w:eastAsia="zh-CN"/>
        </w:rPr>
        <w:t>3个工作</w:t>
      </w:r>
      <w:r>
        <w:rPr>
          <w:rFonts w:hint="eastAsia" w:ascii="宋体" w:hAnsi="宋体" w:eastAsia="宋体" w:cs="宋体"/>
          <w:sz w:val="24"/>
          <w:szCs w:val="24"/>
          <w:u w:val="none"/>
          <w:lang w:eastAsia="zh-CN"/>
        </w:rPr>
        <w:t>日内</w:t>
      </w:r>
      <w:r>
        <w:rPr>
          <w:rFonts w:hint="eastAsia" w:ascii="宋体" w:hAnsi="宋体" w:eastAsia="宋体" w:cs="宋体"/>
          <w:sz w:val="24"/>
          <w:szCs w:val="24"/>
          <w:u w:val="none"/>
          <w:lang w:val="en-US" w:eastAsia="zh-CN"/>
        </w:rPr>
        <w:t>将拍卖成交价款全额支付到拍卖指定如下账户：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户  名：北京嘉义典当有限责任公司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开户行：招商银行北京东城支行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账  户：862181670310001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乙方同意拍卖成交后按照拍卖成交额的2%向甲方支付拍卖佣金，由甲方在拍卖成交当日自乙方的竞买保证金中扣除。如有剩余竞买保证金，在乙方将拍卖成交价款全额支付到拍卖人指定的上述账户后3个工作日内不计息返还给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4、拍卖成交后，乙方还需按照拍卖成交价款的1.2‰向</w:t>
      </w:r>
      <w:r>
        <w:rPr>
          <w:rFonts w:hint="eastAsia" w:ascii="宋体" w:hAnsi="宋体" w:eastAsia="宋体" w:cs="宋体"/>
          <w:sz w:val="24"/>
          <w:szCs w:val="24"/>
          <w:lang w:val="en-US" w:eastAsia="zh-CN"/>
        </w:rPr>
        <w:t>洪力公益拍卖平台</w:t>
      </w:r>
      <w:r>
        <w:rPr>
          <w:rFonts w:hint="eastAsia" w:ascii="宋体" w:hAnsi="宋体" w:eastAsia="宋体" w:cs="宋体"/>
          <w:sz w:val="24"/>
          <w:szCs w:val="24"/>
          <w:u w:val="none"/>
          <w:lang w:val="en-US" w:eastAsia="zh-CN"/>
        </w:rPr>
        <w:t>支付软件使用费，详见</w:t>
      </w:r>
      <w:r>
        <w:rPr>
          <w:rFonts w:hint="eastAsia" w:ascii="宋体" w:hAnsi="宋体" w:eastAsia="宋体" w:cs="宋体"/>
          <w:sz w:val="24"/>
          <w:szCs w:val="24"/>
          <w:lang w:val="en-US" w:eastAsia="zh-CN"/>
        </w:rPr>
        <w:t>洪力公益拍卖平台</w:t>
      </w:r>
      <w:r>
        <w:rPr>
          <w:rFonts w:hint="eastAsia" w:ascii="宋体" w:hAnsi="宋体" w:eastAsia="宋体" w:cs="宋体"/>
          <w:sz w:val="24"/>
          <w:szCs w:val="24"/>
          <w:u w:val="none"/>
          <w:lang w:val="en-US" w:eastAsia="zh-CN"/>
        </w:rPr>
        <w:t>《平台软件使用费收费规则》。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u w:val="none"/>
          <w:lang w:val="en-US" w:eastAsia="zh-CN"/>
        </w:rPr>
      </w:pPr>
      <w:r>
        <w:rPr>
          <w:rFonts w:hint="eastAsia" w:ascii="宋体" w:hAnsi="宋体" w:eastAsia="宋体" w:cs="宋体"/>
          <w:sz w:val="24"/>
          <w:szCs w:val="24"/>
          <w:u w:val="none"/>
          <w:lang w:val="en-US" w:eastAsia="zh-CN"/>
        </w:rPr>
        <w:t>5、</w:t>
      </w:r>
      <w:r>
        <w:rPr>
          <w:rFonts w:hint="eastAsia" w:ascii="宋体" w:hAnsi="宋体" w:eastAsia="宋体" w:cs="宋体"/>
          <w:b w:val="0"/>
          <w:bCs w:val="0"/>
          <w:sz w:val="24"/>
          <w:szCs w:val="24"/>
          <w:u w:val="none"/>
          <w:lang w:val="en-US" w:eastAsia="zh-CN"/>
        </w:rPr>
        <w:t>乙方</w:t>
      </w:r>
      <w:r>
        <w:rPr>
          <w:rFonts w:hint="eastAsia" w:ascii="宋体" w:hAnsi="宋体" w:eastAsia="宋体" w:cs="宋体"/>
          <w:b w:val="0"/>
          <w:bCs w:val="0"/>
          <w:sz w:val="24"/>
          <w:szCs w:val="24"/>
          <w:u w:val="none"/>
        </w:rPr>
        <w:t>付清拍卖成交价款</w:t>
      </w:r>
      <w:r>
        <w:rPr>
          <w:rFonts w:hint="eastAsia" w:ascii="宋体" w:hAnsi="宋体" w:eastAsia="宋体" w:cs="宋体"/>
          <w:b w:val="0"/>
          <w:bCs w:val="0"/>
          <w:sz w:val="24"/>
          <w:szCs w:val="24"/>
          <w:u w:val="none"/>
          <w:lang w:val="en-US" w:eastAsia="zh-CN"/>
        </w:rPr>
        <w:t>和拍卖佣金</w:t>
      </w:r>
      <w:r>
        <w:rPr>
          <w:rFonts w:hint="eastAsia" w:ascii="宋体" w:hAnsi="宋体" w:eastAsia="宋体" w:cs="宋体"/>
          <w:b w:val="0"/>
          <w:bCs w:val="0"/>
          <w:sz w:val="24"/>
          <w:szCs w:val="24"/>
          <w:u w:val="none"/>
        </w:rPr>
        <w:t>后</w:t>
      </w:r>
      <w:r>
        <w:rPr>
          <w:rFonts w:hint="eastAsia" w:ascii="宋体" w:hAnsi="宋体" w:eastAsia="宋体" w:cs="宋体"/>
          <w:b w:val="0"/>
          <w:bCs w:val="0"/>
          <w:sz w:val="24"/>
          <w:szCs w:val="24"/>
          <w:u w:val="none"/>
          <w:lang w:val="en-US" w:eastAsia="zh-CN"/>
        </w:rPr>
        <w:t>即可获取拍卖标的</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拍卖标的保存在第三人</w:t>
      </w:r>
      <w:r>
        <w:rPr>
          <w:rFonts w:hint="eastAsia" w:ascii="宋体" w:hAnsi="宋体" w:eastAsia="宋体" w:cs="宋体"/>
          <w:sz w:val="24"/>
        </w:rPr>
        <w:t>北京嘉义典当有限责任公司</w:t>
      </w:r>
      <w:r>
        <w:rPr>
          <w:rFonts w:hint="eastAsia" w:ascii="宋体" w:hAnsi="宋体" w:eastAsia="宋体" w:cs="宋体"/>
          <w:sz w:val="24"/>
          <w:lang w:val="en-US" w:eastAsia="zh-CN"/>
        </w:rPr>
        <w:t>处，乙方付清拍卖成交价款和拍卖佣金后三日内凭甲方出具的拍卖成交确认书和拍卖佣金发票到第三人</w:t>
      </w:r>
      <w:r>
        <w:rPr>
          <w:rFonts w:hint="eastAsia" w:ascii="宋体" w:hAnsi="宋体" w:eastAsia="宋体" w:cs="宋体"/>
          <w:sz w:val="24"/>
        </w:rPr>
        <w:t>北京嘉义典当有限责任公司</w:t>
      </w:r>
      <w:r>
        <w:rPr>
          <w:rFonts w:hint="eastAsia" w:ascii="宋体" w:hAnsi="宋体" w:eastAsia="宋体" w:cs="宋体"/>
          <w:sz w:val="24"/>
          <w:lang w:val="en-US" w:eastAsia="zh-CN"/>
        </w:rPr>
        <w:t>处领取拍卖标的，现状交付，所需费用由乙方自行承担。甲方不负责拍卖标的移交和监交事宜，并对此不承担任何责任和费用。</w:t>
      </w:r>
    </w:p>
    <w:p>
      <w:pPr>
        <w:pStyle w:val="5"/>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szCs w:val="24"/>
        </w:rPr>
      </w:pPr>
      <w:r>
        <w:rPr>
          <w:rFonts w:hint="eastAsia" w:ascii="宋体" w:hAnsi="宋体" w:eastAsia="宋体" w:cs="宋体"/>
          <w:sz w:val="24"/>
          <w:szCs w:val="24"/>
          <w:u w:val="none"/>
          <w:lang w:eastAsia="zh-CN"/>
        </w:rPr>
        <w:t>七、</w:t>
      </w:r>
      <w:r>
        <w:rPr>
          <w:rFonts w:hint="eastAsia" w:ascii="宋体" w:hAnsi="宋体" w:eastAsia="宋体" w:cs="宋体"/>
          <w:b w:val="0"/>
          <w:bCs w:val="0"/>
          <w:color w:val="auto"/>
          <w:sz w:val="24"/>
          <w:szCs w:val="24"/>
        </w:rPr>
        <w:t>买受人有下列行为之一的，视为违约：</w:t>
      </w:r>
    </w:p>
    <w:p>
      <w:pPr>
        <w:pStyle w:val="5"/>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sz w:val="24"/>
          <w:szCs w:val="24"/>
          <w:lang w:val="en-US" w:eastAsia="zh-CN"/>
        </w:rPr>
        <w:t>洪力公益拍卖平台</w:t>
      </w:r>
      <w:r>
        <w:rPr>
          <w:rFonts w:hint="eastAsia" w:ascii="宋体" w:hAnsi="宋体" w:eastAsia="宋体" w:cs="宋体"/>
          <w:b w:val="0"/>
          <w:bCs w:val="0"/>
          <w:color w:val="auto"/>
          <w:sz w:val="24"/>
          <w:szCs w:val="24"/>
          <w:lang w:val="en-US" w:eastAsia="zh-CN"/>
        </w:rPr>
        <w:t>显示</w:t>
      </w:r>
      <w:r>
        <w:rPr>
          <w:rFonts w:hint="eastAsia" w:ascii="宋体" w:hAnsi="宋体" w:eastAsia="宋体" w:cs="宋体"/>
          <w:b w:val="0"/>
          <w:bCs w:val="0"/>
          <w:color w:val="auto"/>
          <w:sz w:val="24"/>
          <w:szCs w:val="24"/>
        </w:rPr>
        <w:t>成交后，买受人反悔的；</w:t>
      </w:r>
    </w:p>
    <w:p>
      <w:pPr>
        <w:pStyle w:val="5"/>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2、买受人逾期或拒绝签订《成交确认书》的；</w:t>
      </w:r>
    </w:p>
    <w:p>
      <w:pPr>
        <w:pStyle w:val="5"/>
        <w:keepNext w:val="0"/>
        <w:keepLines w:val="0"/>
        <w:pageBreakBefore w:val="0"/>
        <w:widowControl w:val="0"/>
        <w:tabs>
          <w:tab w:val="left" w:pos="540"/>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3、买受人逾期或拒绝按照《成交确认书》的约定支付拍卖成交价款</w:t>
      </w:r>
      <w:r>
        <w:rPr>
          <w:rFonts w:hint="eastAsia" w:ascii="宋体" w:hAnsi="宋体" w:eastAsia="宋体" w:cs="宋体"/>
          <w:b w:val="0"/>
          <w:bCs w:val="0"/>
          <w:color w:val="auto"/>
          <w:sz w:val="24"/>
          <w:szCs w:val="24"/>
          <w:lang w:val="en-US" w:eastAsia="zh-CN"/>
        </w:rPr>
        <w:t>和拍卖佣金</w:t>
      </w:r>
      <w:r>
        <w:rPr>
          <w:rFonts w:hint="eastAsia" w:ascii="宋体" w:hAnsi="宋体" w:eastAsia="宋体" w:cs="宋体"/>
          <w:b w:val="0"/>
          <w:bCs w:val="0"/>
          <w:color w:val="auto"/>
          <w:sz w:val="24"/>
          <w:szCs w:val="24"/>
        </w:rPr>
        <w:t>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u w:val="none"/>
          <w:lang w:eastAsia="zh-CN"/>
        </w:rPr>
      </w:pPr>
      <w:r>
        <w:rPr>
          <w:rFonts w:hint="eastAsia" w:ascii="宋体" w:hAnsi="宋体" w:eastAsia="宋体" w:cs="宋体"/>
          <w:b w:val="0"/>
          <w:bCs w:val="0"/>
          <w:color w:val="auto"/>
          <w:sz w:val="24"/>
          <w:szCs w:val="24"/>
        </w:rPr>
        <w:t>买受人违约的，委托人和拍卖人有权取消其买受人资格，并有权不予返还其竞买保证金</w:t>
      </w:r>
      <w:r>
        <w:rPr>
          <w:rFonts w:hint="eastAsia" w:ascii="宋体" w:hAnsi="宋体" w:eastAsia="宋体" w:cs="宋体"/>
          <w:b w:val="0"/>
          <w:bCs w:val="0"/>
          <w:color w:val="auto"/>
          <w:sz w:val="24"/>
          <w:szCs w:val="24"/>
          <w:lang w:eastAsia="zh-CN"/>
        </w:rPr>
        <w:t>，</w:t>
      </w:r>
      <w:r>
        <w:rPr>
          <w:rFonts w:hint="eastAsia" w:ascii="宋体" w:hAnsi="宋体" w:eastAsia="宋体" w:cs="宋体"/>
          <w:sz w:val="24"/>
          <w:szCs w:val="24"/>
          <w:lang w:val="en-US" w:eastAsia="zh-CN"/>
        </w:rPr>
        <w:t>自动转为支付给拍卖人的违约金。</w:t>
      </w:r>
      <w:r>
        <w:rPr>
          <w:rFonts w:hint="eastAsia" w:ascii="宋体" w:hAnsi="宋体" w:eastAsia="宋体" w:cs="宋体"/>
          <w:b w:val="0"/>
          <w:bCs w:val="0"/>
          <w:color w:val="auto"/>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eastAsia="zh-CN"/>
        </w:rPr>
        <w:t>《拍卖规则》、</w:t>
      </w:r>
      <w:r>
        <w:rPr>
          <w:rFonts w:hint="eastAsia" w:ascii="宋体" w:hAnsi="宋体" w:eastAsia="宋体" w:cs="宋体"/>
          <w:sz w:val="24"/>
          <w:szCs w:val="24"/>
          <w:u w:val="none"/>
        </w:rPr>
        <w:t>《拍卖成交确认书》为本协议的组成部分，在履行过程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中若发生争议，由双方协商解决；协商不成的，可以到有管辖权的人民法院起诉。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九</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本协议经双方签章后生效，一式二份，当事人双方各执一份。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0"/>
          <w:szCs w:val="10"/>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甲方：（签章）</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cs="宋体"/>
          <w:sz w:val="24"/>
          <w:szCs w:val="24"/>
          <w:u w:val="single"/>
          <w:lang w:val="en-US" w:eastAsia="zh-CN"/>
        </w:rPr>
      </w:pPr>
      <w:r>
        <w:rPr>
          <w:rFonts w:hint="eastAsia" w:ascii="宋体" w:hAnsi="宋体" w:eastAsia="宋体" w:cs="宋体"/>
          <w:sz w:val="24"/>
          <w:szCs w:val="24"/>
        </w:rPr>
        <w:t>乙方（签章）：</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代理人（签章）</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cs="宋体"/>
          <w:sz w:val="24"/>
          <w:szCs w:val="24"/>
          <w:u w:val="single"/>
          <w:lang w:val="en-US" w:eastAsia="zh-CN"/>
        </w:rPr>
      </w:pPr>
      <w:r>
        <w:rPr>
          <w:rFonts w:hint="eastAsia" w:ascii="宋体" w:hAnsi="宋体" w:cs="宋体"/>
          <w:sz w:val="24"/>
          <w:szCs w:val="24"/>
          <w:lang w:val="en-US" w:eastAsia="zh-CN"/>
        </w:rPr>
        <w:t>证件名称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证件号码</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cs="宋体"/>
          <w:sz w:val="24"/>
          <w:szCs w:val="24"/>
          <w:u w:val="single"/>
          <w:lang w:val="en-US" w:eastAsia="zh-CN"/>
        </w:rPr>
      </w:pPr>
      <w:r>
        <w:rPr>
          <w:rFonts w:hint="eastAsia" w:ascii="宋体" w:hAnsi="宋体" w:eastAsia="宋体" w:cs="宋体"/>
          <w:sz w:val="24"/>
          <w:szCs w:val="24"/>
        </w:rPr>
        <w:t>联</w:t>
      </w:r>
      <w:r>
        <w:rPr>
          <w:rFonts w:hint="eastAsia" w:ascii="宋体" w:hAnsi="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cs="宋体"/>
          <w:sz w:val="24"/>
          <w:szCs w:val="24"/>
          <w:lang w:val="en-US" w:eastAsia="zh-CN"/>
        </w:rPr>
        <w:t xml:space="preserve"> </w:t>
      </w:r>
      <w:r>
        <w:rPr>
          <w:rFonts w:hint="eastAsia" w:ascii="宋体" w:hAnsi="宋体" w:eastAsia="宋体" w:cs="宋体"/>
          <w:sz w:val="24"/>
          <w:szCs w:val="24"/>
        </w:rPr>
        <w:t>电</w:t>
      </w:r>
      <w:r>
        <w:rPr>
          <w:rFonts w:hint="eastAsia" w:ascii="宋体" w:hAnsi="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cs="宋体"/>
          <w:sz w:val="24"/>
          <w:szCs w:val="24"/>
          <w:u w:val="single"/>
          <w:lang w:val="en-US" w:eastAsia="zh-CN"/>
        </w:rPr>
      </w:pPr>
      <w:r>
        <w:rPr>
          <w:rFonts w:hint="eastAsia" w:ascii="宋体" w:hAnsi="宋体" w:cs="宋体"/>
          <w:sz w:val="24"/>
          <w:szCs w:val="24"/>
          <w:u w:val="none"/>
          <w:lang w:val="en-US" w:eastAsia="zh-CN"/>
        </w:rPr>
        <w:t>签订时间：</w:t>
      </w:r>
      <w:r>
        <w:rPr>
          <w:rFonts w:hint="eastAsia" w:ascii="宋体" w:hAnsi="宋体" w:cs="宋体"/>
          <w:sz w:val="24"/>
          <w:szCs w:val="24"/>
          <w:u w:val="single"/>
          <w:lang w:val="en-US" w:eastAsia="zh-CN"/>
        </w:rPr>
        <w:t>2023年10月    日</w:t>
      </w:r>
      <w:r>
        <w:rPr>
          <w:rFonts w:hint="eastAsia" w:ascii="宋体" w:hAnsi="宋体" w:cs="宋体"/>
          <w:sz w:val="24"/>
          <w:szCs w:val="24"/>
          <w:u w:val="none"/>
          <w:lang w:val="en-US" w:eastAsia="zh-CN"/>
        </w:rPr>
        <w:t xml:space="preserve">        签 订 地 点：</w:t>
      </w:r>
      <w:r>
        <w:rPr>
          <w:rFonts w:hint="eastAsia" w:ascii="宋体" w:hAnsi="宋体" w:cs="宋体"/>
          <w:sz w:val="24"/>
          <w:szCs w:val="24"/>
          <w:u w:val="single"/>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jc w:val="center"/>
        <w:rPr>
          <w:rFonts w:hint="eastAsia" w:ascii="宋体" w:hAnsi="宋体"/>
          <w:b/>
          <w:w w:val="90"/>
          <w:sz w:val="36"/>
          <w:szCs w:val="36"/>
        </w:rPr>
      </w:pPr>
      <w:r>
        <w:rPr>
          <w:rFonts w:hint="eastAsia" w:ascii="宋体" w:hAnsi="宋体"/>
          <w:b/>
          <w:w w:val="90"/>
          <w:sz w:val="36"/>
          <w:szCs w:val="36"/>
        </w:rPr>
        <w:t>光彩银星拍卖有限公司</w:t>
      </w:r>
    </w:p>
    <w:p>
      <w:pPr>
        <w:jc w:val="center"/>
        <w:rPr>
          <w:rFonts w:hint="eastAsia" w:ascii="宋体" w:hAnsi="宋体"/>
          <w:b/>
          <w:w w:val="90"/>
          <w:sz w:val="36"/>
          <w:szCs w:val="36"/>
        </w:rPr>
      </w:pPr>
      <w:r>
        <w:rPr>
          <w:rFonts w:hint="eastAsia" w:ascii="宋体" w:hAnsi="宋体"/>
          <w:b/>
          <w:w w:val="90"/>
          <w:sz w:val="36"/>
          <w:szCs w:val="36"/>
        </w:rPr>
        <w:t>拍  卖  标  的  展  示  登  记  表</w:t>
      </w:r>
    </w:p>
    <w:p>
      <w:pPr>
        <w:jc w:val="center"/>
        <w:rPr>
          <w:rFonts w:hint="eastAsia" w:ascii="宋体" w:hAnsi="宋体"/>
          <w:b/>
          <w:w w:val="90"/>
          <w:sz w:val="10"/>
          <w:szCs w:val="10"/>
        </w:rPr>
      </w:pPr>
    </w:p>
    <w:tbl>
      <w:tblPr>
        <w:tblStyle w:val="7"/>
        <w:tblW w:w="8375"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900" w:type="dxa"/>
            <w:noWrap w:val="0"/>
            <w:vAlign w:val="center"/>
          </w:tcPr>
          <w:p>
            <w:pPr>
              <w:spacing w:line="40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拍 卖 标 的</w:t>
            </w:r>
          </w:p>
        </w:tc>
        <w:tc>
          <w:tcPr>
            <w:tcW w:w="7475" w:type="dxa"/>
            <w:tcBorders>
              <w:right w:val="single" w:color="auto" w:sz="4" w:space="0"/>
            </w:tcBorders>
            <w:noWrap w:val="0"/>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书画资产七幅，现状整体打包拍卖</w:t>
            </w:r>
            <w:r>
              <w:rPr>
                <w:rFonts w:hint="eastAsia" w:ascii="宋体" w:hAnsi="宋体" w:eastAsia="宋体" w:cs="宋体"/>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00" w:type="dxa"/>
            <w:tcBorders>
              <w:bottom w:val="single" w:color="auto" w:sz="4" w:space="0"/>
            </w:tcBorders>
            <w:noWrap w:val="0"/>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rPr>
              <w:t>展 示</w:t>
            </w:r>
            <w:r>
              <w:rPr>
                <w:rFonts w:hint="eastAsia" w:ascii="宋体" w:hAnsi="宋体" w:eastAsia="宋体" w:cs="宋体"/>
                <w:b/>
                <w:color w:val="000000"/>
                <w:sz w:val="24"/>
                <w:szCs w:val="24"/>
                <w:lang w:val="en-US" w:eastAsia="zh-CN"/>
              </w:rPr>
              <w:t>时 间地 点</w:t>
            </w:r>
          </w:p>
        </w:tc>
        <w:tc>
          <w:tcPr>
            <w:tcW w:w="747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预展时间：</w:t>
            </w:r>
            <w:r>
              <w:rPr>
                <w:rFonts w:hint="eastAsia" w:ascii="宋体" w:hAnsi="宋体" w:eastAsia="宋体" w:cs="宋体"/>
                <w:b w:val="0"/>
                <w:bCs/>
                <w:color w:val="auto"/>
                <w:sz w:val="24"/>
                <w:szCs w:val="24"/>
                <w:lang w:val="en-US" w:eastAsia="zh-CN"/>
              </w:rPr>
              <w:t>2023年</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val="en-US" w:eastAsia="zh-CN"/>
              </w:rPr>
              <w:t>0</w:t>
            </w:r>
            <w:r>
              <w:rPr>
                <w:rFonts w:hint="eastAsia" w:ascii="宋体" w:hAnsi="宋体" w:eastAsia="宋体" w:cs="宋体"/>
                <w:b w:val="0"/>
                <w:bCs/>
                <w:color w:val="auto"/>
                <w:sz w:val="24"/>
                <w:szCs w:val="24"/>
              </w:rPr>
              <w:t>月</w:t>
            </w:r>
            <w:r>
              <w:rPr>
                <w:rFonts w:hint="eastAsia" w:ascii="宋体" w:hAnsi="宋体" w:eastAsia="宋体" w:cs="宋体"/>
                <w:b w:val="0"/>
                <w:bCs/>
                <w:color w:val="auto"/>
                <w:sz w:val="24"/>
                <w:szCs w:val="24"/>
                <w:lang w:val="en-US" w:eastAsia="zh-CN"/>
              </w:rPr>
              <w:t>30</w:t>
            </w:r>
            <w:r>
              <w:rPr>
                <w:rFonts w:hint="eastAsia" w:ascii="宋体" w:hAnsi="宋体" w:eastAsia="宋体" w:cs="宋体"/>
                <w:b w:val="0"/>
                <w:bCs/>
                <w:color w:val="auto"/>
                <w:sz w:val="24"/>
                <w:szCs w:val="24"/>
              </w:rPr>
              <w:t>日-</w:t>
            </w:r>
            <w:r>
              <w:rPr>
                <w:rFonts w:hint="eastAsia" w:ascii="宋体" w:hAnsi="宋体" w:eastAsia="宋体" w:cs="宋体"/>
                <w:b w:val="0"/>
                <w:bCs/>
                <w:color w:val="auto"/>
                <w:sz w:val="24"/>
                <w:szCs w:val="24"/>
                <w:lang w:val="en-US" w:eastAsia="zh-CN"/>
              </w:rPr>
              <w:t>2023年11月1</w:t>
            </w:r>
            <w:r>
              <w:rPr>
                <w:rFonts w:hint="eastAsia" w:ascii="宋体" w:hAnsi="宋体" w:eastAsia="宋体" w:cs="宋体"/>
                <w:b w:val="0"/>
                <w:bCs/>
                <w:color w:val="auto"/>
                <w:sz w:val="24"/>
                <w:szCs w:val="24"/>
              </w:rPr>
              <w:t>日（9:00-16:00）</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预展地点：北京市东城区工体北路66号瑞士公寓E座B1-8109</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color w:val="auto"/>
                <w:sz w:val="24"/>
                <w:szCs w:val="24"/>
              </w:rPr>
            </w:pPr>
            <w:r>
              <w:rPr>
                <w:rFonts w:hint="eastAsia" w:ascii="宋体" w:hAnsi="宋体" w:eastAsia="宋体" w:cs="宋体"/>
                <w:b w:val="0"/>
                <w:bCs/>
                <w:color w:val="auto"/>
                <w:sz w:val="24"/>
                <w:szCs w:val="24"/>
              </w:rPr>
              <w:t>预约电话：010-65529110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7" w:hRule="atLeast"/>
        </w:trPr>
        <w:tc>
          <w:tcPr>
            <w:tcW w:w="83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我本人已经在展示时间内认真查看了上述拍卖标的，了解标的一切现状，愿意按照标的的现状参加竞买，收到并签署了《拍卖规则》</w:t>
            </w:r>
            <w:r>
              <w:rPr>
                <w:rFonts w:hint="eastAsia" w:ascii="宋体" w:hAnsi="宋体" w:eastAsia="宋体" w:cs="宋体"/>
                <w:b/>
                <w:color w:val="000000"/>
                <w:sz w:val="24"/>
                <w:szCs w:val="24"/>
                <w:lang w:eastAsia="zh-CN"/>
              </w:rPr>
              <w:t>、《竞买协议》等文件</w:t>
            </w:r>
            <w:r>
              <w:rPr>
                <w:rFonts w:hint="eastAsia" w:ascii="宋体" w:hAnsi="宋体" w:eastAsia="宋体" w:cs="宋体"/>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rPr>
              <w:t>竞买人签字确认：</w:t>
            </w:r>
          </w:p>
          <w:p>
            <w:pPr>
              <w:ind w:firstLine="590" w:firstLineChars="245"/>
              <w:jc w:val="right"/>
              <w:rPr>
                <w:rFonts w:hint="eastAsia" w:ascii="宋体" w:hAnsi="宋体" w:eastAsia="宋体" w:cs="宋体"/>
                <w:b/>
                <w:color w:val="000000"/>
                <w:sz w:val="24"/>
                <w:szCs w:val="24"/>
              </w:rPr>
            </w:pPr>
          </w:p>
          <w:p>
            <w:pPr>
              <w:jc w:val="both"/>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jc w:val="both"/>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ind w:firstLine="590" w:firstLineChars="245"/>
              <w:jc w:val="right"/>
              <w:rPr>
                <w:rFonts w:hint="eastAsia" w:ascii="宋体" w:hAnsi="宋体" w:eastAsia="宋体" w:cs="宋体"/>
                <w:b/>
                <w:color w:val="000000"/>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ind w:firstLine="588" w:firstLineChars="245"/>
              <w:jc w:val="right"/>
              <w:textAlignment w:val="auto"/>
              <w:outlineLvl w:val="9"/>
              <w:rPr>
                <w:rFonts w:hint="eastAsia" w:ascii="宋体" w:hAnsi="宋体" w:eastAsia="宋体" w:cs="宋体"/>
                <w:b w:val="0"/>
                <w:bCs/>
                <w:color w:val="000000"/>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588" w:firstLineChars="245"/>
              <w:jc w:val="right"/>
              <w:textAlignment w:val="auto"/>
              <w:outlineLvl w:val="9"/>
              <w:rPr>
                <w:rFonts w:hint="eastAsia" w:ascii="宋体" w:hAnsi="宋体" w:eastAsia="宋体" w:cs="宋体"/>
                <w:b w:val="0"/>
                <w:bCs/>
                <w:color w:val="000000"/>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588" w:firstLineChars="245"/>
              <w:jc w:val="right"/>
              <w:textAlignment w:val="auto"/>
              <w:outlineLvl w:val="9"/>
              <w:rPr>
                <w:rFonts w:hint="eastAsia" w:ascii="宋体" w:hAnsi="宋体" w:eastAsia="宋体" w:cs="宋体"/>
                <w:b w:val="0"/>
                <w:bCs/>
                <w:color w:val="000000"/>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588" w:firstLineChars="245"/>
              <w:jc w:val="right"/>
              <w:textAlignment w:val="auto"/>
              <w:outlineLvl w:val="9"/>
              <w:rPr>
                <w:rFonts w:hint="eastAsia" w:ascii="宋体" w:hAnsi="宋体" w:eastAsia="宋体" w:cs="宋体"/>
                <w:b w:val="0"/>
                <w:bCs/>
                <w:color w:val="000000"/>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588" w:firstLineChars="245"/>
              <w:jc w:val="right"/>
              <w:textAlignment w:val="auto"/>
              <w:outlineLvl w:val="9"/>
              <w:rPr>
                <w:rFonts w:hint="eastAsia" w:ascii="宋体" w:hAnsi="宋体" w:eastAsia="宋体" w:cs="宋体"/>
                <w:b w:val="0"/>
                <w:bCs/>
                <w:color w:val="000000"/>
                <w:sz w:val="24"/>
                <w:szCs w:val="24"/>
                <w:lang w:val="en-US"/>
              </w:rPr>
            </w:pPr>
            <w:r>
              <w:rPr>
                <w:rFonts w:hint="eastAsia" w:ascii="宋体" w:hAnsi="宋体" w:eastAsia="宋体" w:cs="宋体"/>
                <w:b w:val="0"/>
                <w:bCs/>
                <w:color w:val="000000"/>
                <w:sz w:val="24"/>
                <w:szCs w:val="24"/>
                <w:lang w:eastAsia="zh-CN"/>
              </w:rPr>
              <w:t>光彩银星拍卖有限公司</w:t>
            </w:r>
            <w:r>
              <w:rPr>
                <w:rFonts w:hint="eastAsia" w:ascii="宋体" w:hAnsi="宋体" w:eastAsia="宋体" w:cs="宋体"/>
                <w:b w:val="0"/>
                <w:bCs/>
                <w:color w:val="00000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588" w:firstLineChars="245"/>
              <w:jc w:val="right"/>
              <w:textAlignment w:val="auto"/>
              <w:outlineLvl w:val="9"/>
              <w:rPr>
                <w:rFonts w:hint="default" w:ascii="仿宋_GB2312" w:eastAsia="仿宋_GB2312"/>
                <w:b/>
                <w:color w:val="000000"/>
                <w:sz w:val="24"/>
                <w:szCs w:val="24"/>
                <w:lang w:val="en-US"/>
              </w:rPr>
            </w:pPr>
            <w:r>
              <w:rPr>
                <w:rFonts w:hint="eastAsia" w:ascii="宋体" w:hAnsi="宋体" w:eastAsia="宋体" w:cs="宋体"/>
                <w:b w:val="0"/>
                <w:bCs/>
                <w:color w:val="000000"/>
                <w:sz w:val="24"/>
                <w:szCs w:val="24"/>
                <w:lang w:val="en-US" w:eastAsia="zh-CN"/>
              </w:rPr>
              <w:t>2023</w:t>
            </w:r>
            <w:r>
              <w:rPr>
                <w:rFonts w:hint="eastAsia" w:ascii="宋体" w:hAnsi="宋体" w:eastAsia="宋体" w:cs="宋体"/>
                <w:b w:val="0"/>
                <w:bCs/>
                <w:color w:val="000000"/>
                <w:sz w:val="24"/>
                <w:szCs w:val="24"/>
              </w:rPr>
              <w:t>年</w:t>
            </w:r>
            <w:r>
              <w:rPr>
                <w:rFonts w:hint="eastAsia" w:ascii="宋体" w:hAnsi="宋体" w:eastAsia="宋体" w:cs="宋体"/>
                <w:b w:val="0"/>
                <w:bCs/>
                <w:color w:val="000000"/>
                <w:sz w:val="24"/>
                <w:szCs w:val="24"/>
                <w:lang w:val="en-US" w:eastAsia="zh-CN"/>
              </w:rPr>
              <w:t>10</w:t>
            </w:r>
            <w:r>
              <w:rPr>
                <w:rFonts w:hint="eastAsia" w:ascii="宋体" w:hAnsi="宋体" w:eastAsia="宋体" w:cs="宋体"/>
                <w:b w:val="0"/>
                <w:bCs/>
                <w:color w:val="000000"/>
                <w:sz w:val="24"/>
                <w:szCs w:val="24"/>
                <w:lang w:eastAsia="zh-CN"/>
              </w:rPr>
              <w:t>月</w:t>
            </w:r>
            <w:r>
              <w:rPr>
                <w:rFonts w:hint="eastAsia" w:ascii="宋体" w:hAnsi="宋体" w:eastAsia="宋体" w:cs="宋体"/>
                <w:b w:val="0"/>
                <w:bCs/>
                <w:color w:val="000000"/>
                <w:sz w:val="24"/>
                <w:szCs w:val="24"/>
                <w:lang w:val="en-US" w:eastAsia="zh-CN"/>
              </w:rPr>
              <w:t>26</w:t>
            </w:r>
            <w:r>
              <w:rPr>
                <w:rFonts w:hint="eastAsia" w:ascii="宋体" w:hAnsi="宋体" w:eastAsia="宋体" w:cs="宋体"/>
                <w:b w:val="0"/>
                <w:bCs/>
                <w:color w:val="000000"/>
                <w:sz w:val="24"/>
                <w:szCs w:val="24"/>
                <w:lang w:eastAsia="zh-CN"/>
              </w:rPr>
              <w:t>日</w:t>
            </w:r>
            <w:r>
              <w:rPr>
                <w:rFonts w:hint="eastAsia" w:ascii="宋体" w:hAnsi="宋体" w:eastAsia="宋体" w:cs="宋体"/>
                <w:b w:val="0"/>
                <w:bCs/>
                <w:color w:val="000000"/>
                <w:sz w:val="24"/>
                <w:szCs w:val="24"/>
                <w:lang w:val="en-US" w:eastAsia="zh-CN"/>
              </w:rPr>
              <w:t xml:space="preserve">  </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5C155"/>
    <w:multiLevelType w:val="singleLevel"/>
    <w:tmpl w:val="5755C15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YzhlMTE2N2I2NGQyM2JlZmM1OGFkOTNkMWUzMGEifQ=="/>
  </w:docVars>
  <w:rsids>
    <w:rsidRoot w:val="3F4A7D4E"/>
    <w:rsid w:val="023777F7"/>
    <w:rsid w:val="080B392B"/>
    <w:rsid w:val="08251DFD"/>
    <w:rsid w:val="0B153D74"/>
    <w:rsid w:val="0D3928BE"/>
    <w:rsid w:val="0DBB4346"/>
    <w:rsid w:val="0E9E4764"/>
    <w:rsid w:val="113C6BB8"/>
    <w:rsid w:val="13F81EBB"/>
    <w:rsid w:val="183518C2"/>
    <w:rsid w:val="1931123B"/>
    <w:rsid w:val="1B9662A5"/>
    <w:rsid w:val="1EDF295B"/>
    <w:rsid w:val="1F8D23B7"/>
    <w:rsid w:val="20DB01C7"/>
    <w:rsid w:val="234C4337"/>
    <w:rsid w:val="23D04BA9"/>
    <w:rsid w:val="23F57BB3"/>
    <w:rsid w:val="24CC2AFB"/>
    <w:rsid w:val="24DB75EF"/>
    <w:rsid w:val="28074EBE"/>
    <w:rsid w:val="2DAD6F48"/>
    <w:rsid w:val="307642F6"/>
    <w:rsid w:val="31EB4FC1"/>
    <w:rsid w:val="3E98420F"/>
    <w:rsid w:val="3ED91904"/>
    <w:rsid w:val="3F4A7D4E"/>
    <w:rsid w:val="41A82C28"/>
    <w:rsid w:val="42032708"/>
    <w:rsid w:val="45D76E9A"/>
    <w:rsid w:val="46DD3374"/>
    <w:rsid w:val="4A727B27"/>
    <w:rsid w:val="4B1D5099"/>
    <w:rsid w:val="4B2F7799"/>
    <w:rsid w:val="4BC62629"/>
    <w:rsid w:val="4C0F3FD0"/>
    <w:rsid w:val="4C887F38"/>
    <w:rsid w:val="4E7829DB"/>
    <w:rsid w:val="5438255B"/>
    <w:rsid w:val="552F2C17"/>
    <w:rsid w:val="57A23F4A"/>
    <w:rsid w:val="57EA58F1"/>
    <w:rsid w:val="5E385608"/>
    <w:rsid w:val="5E693A13"/>
    <w:rsid w:val="612C67CA"/>
    <w:rsid w:val="644E3AFF"/>
    <w:rsid w:val="64794284"/>
    <w:rsid w:val="6AF51787"/>
    <w:rsid w:val="6C4F4203"/>
    <w:rsid w:val="6D5C4743"/>
    <w:rsid w:val="6F394D3C"/>
    <w:rsid w:val="6F9730F7"/>
    <w:rsid w:val="774D1C68"/>
    <w:rsid w:val="7A2F56B9"/>
    <w:rsid w:val="7AA339B1"/>
    <w:rsid w:val="7C0D79BC"/>
    <w:rsid w:val="7F4830EC"/>
    <w:rsid w:val="7FFA6B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qFormat/>
    <w:uiPriority w:val="0"/>
    <w:pPr>
      <w:ind w:firstLine="560" w:firstLineChars="200"/>
    </w:pPr>
    <w:rPr>
      <w:rFonts w:ascii="宋体" w:hAnsi="宋体"/>
      <w:sz w:val="28"/>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1838</Words>
  <Characters>1884</Characters>
  <Lines>0</Lines>
  <Paragraphs>0</Paragraphs>
  <TotalTime>2</TotalTime>
  <ScaleCrop>false</ScaleCrop>
  <LinksUpToDate>false</LinksUpToDate>
  <CharactersWithSpaces>1889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2020-06-02T00:51:00Z</dcterms:created>
  <dc:creator>大海</dc:creator>
  <cp:lastModifiedBy>洪力网张海峰18678653936</cp:lastModifiedBy>
  <dcterms:modified xsi:type="dcterms:W3CDTF">2023-10-26T08:56:36Z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27A3393F423A4890B94484C52D359849</vt:lpwstr>
  </property>
</Properties>
</file>