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Times New Roman" w:hAnsi="Times New Roman" w:eastAsia="宋体" w:cs="Times New Roman"/>
          <w:b/>
          <w:sz w:val="30"/>
          <w:szCs w:val="30"/>
        </w:rPr>
      </w:pPr>
    </w:p>
    <w:p>
      <w:pPr>
        <w:spacing w:line="440" w:lineRule="exact"/>
        <w:jc w:val="center"/>
        <w:rPr>
          <w:rFonts w:hint="default" w:ascii="Times New Roman" w:hAnsi="Times New Roman" w:eastAsia="宋体" w:cs="Times New Roman"/>
          <w:b/>
          <w:sz w:val="30"/>
          <w:szCs w:val="30"/>
        </w:rPr>
      </w:pPr>
    </w:p>
    <w:p>
      <w:pPr>
        <w:spacing w:line="440" w:lineRule="exact"/>
        <w:jc w:val="center"/>
        <w:rPr>
          <w:rFonts w:hint="default" w:ascii="Times New Roman" w:hAnsi="Times New Roman" w:eastAsia="宋体" w:cs="Times New Roman"/>
          <w:b/>
          <w:sz w:val="30"/>
          <w:szCs w:val="30"/>
        </w:rPr>
      </w:pPr>
    </w:p>
    <w:p>
      <w:pPr>
        <w:spacing w:line="480" w:lineRule="auto"/>
        <w:jc w:val="center"/>
        <w:rPr>
          <w:rFonts w:hint="default" w:ascii="Times New Roman" w:hAnsi="Times New Roman" w:eastAsia="宋体" w:cs="Times New Roman"/>
          <w:b/>
          <w:color w:val="000000"/>
          <w:spacing w:val="125"/>
          <w:sz w:val="72"/>
          <w:szCs w:val="72"/>
        </w:rPr>
      </w:pPr>
      <w:r>
        <w:rPr>
          <w:rFonts w:hint="default" w:ascii="Times New Roman" w:hAnsi="Times New Roman" w:eastAsia="宋体" w:cs="Times New Roman"/>
          <w:b/>
          <w:color w:val="000000"/>
          <w:spacing w:val="125"/>
          <w:sz w:val="72"/>
          <w:szCs w:val="72"/>
        </w:rPr>
        <w:t>房地产</w:t>
      </w:r>
      <w:r>
        <w:rPr>
          <w:rFonts w:hint="default" w:ascii="Times New Roman" w:hAnsi="Times New Roman" w:cs="Times New Roman"/>
          <w:b/>
          <w:color w:val="000000"/>
          <w:spacing w:val="125"/>
          <w:sz w:val="72"/>
          <w:szCs w:val="72"/>
          <w:lang w:eastAsia="zh-CN"/>
        </w:rPr>
        <w:t>估价</w:t>
      </w:r>
      <w:r>
        <w:rPr>
          <w:rFonts w:hint="default" w:ascii="Times New Roman" w:hAnsi="Times New Roman" w:eastAsia="宋体" w:cs="Times New Roman"/>
          <w:b/>
          <w:color w:val="000000"/>
          <w:spacing w:val="125"/>
          <w:sz w:val="72"/>
          <w:szCs w:val="72"/>
        </w:rPr>
        <w:t>报告</w:t>
      </w:r>
    </w:p>
    <w:p>
      <w:pPr>
        <w:spacing w:after="0" w:line="440" w:lineRule="exact"/>
        <w:jc w:val="center"/>
        <w:rPr>
          <w:rFonts w:hint="default" w:ascii="Times New Roman" w:hAnsi="Times New Roman" w:eastAsia="宋体" w:cs="Times New Roman"/>
          <w:sz w:val="28"/>
          <w:szCs w:val="28"/>
        </w:rPr>
      </w:pPr>
    </w:p>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spacing w:line="440" w:lineRule="exact"/>
        <w:jc w:val="center"/>
        <w:rPr>
          <w:rFonts w:hint="default" w:ascii="Times New Roman" w:hAnsi="Times New Roman" w:eastAsia="宋体" w:cs="Times New Roman"/>
          <w:sz w:val="28"/>
          <w:szCs w:val="28"/>
        </w:rPr>
      </w:pPr>
    </w:p>
    <w:p>
      <w:pPr>
        <w:spacing w:line="440" w:lineRule="exact"/>
        <w:jc w:val="center"/>
        <w:rPr>
          <w:rFonts w:hint="default" w:ascii="Times New Roman" w:hAnsi="Times New Roman" w:eastAsia="宋体" w:cs="Times New Roman"/>
          <w:b/>
          <w:sz w:val="30"/>
          <w:szCs w:val="30"/>
        </w:rPr>
      </w:pPr>
    </w:p>
    <w:p>
      <w:pPr>
        <w:spacing w:line="440" w:lineRule="exact"/>
        <w:jc w:val="center"/>
        <w:rPr>
          <w:rFonts w:hint="default" w:ascii="Times New Roman" w:hAnsi="Times New Roman" w:eastAsia="宋体" w:cs="Times New Roman"/>
          <w:b/>
          <w:sz w:val="30"/>
          <w:szCs w:val="30"/>
        </w:rPr>
      </w:pPr>
    </w:p>
    <w:p>
      <w:pPr>
        <w:spacing w:line="440" w:lineRule="exact"/>
        <w:jc w:val="center"/>
        <w:rPr>
          <w:rFonts w:hint="default" w:ascii="Times New Roman" w:hAnsi="Times New Roman" w:eastAsia="宋体" w:cs="Times New Roman"/>
          <w:b/>
          <w:sz w:val="30"/>
          <w:szCs w:val="30"/>
        </w:rPr>
      </w:pPr>
    </w:p>
    <w:p>
      <w:pPr>
        <w:spacing w:line="440" w:lineRule="exact"/>
        <w:jc w:val="center"/>
        <w:rPr>
          <w:rFonts w:hint="default" w:ascii="Times New Roman" w:hAnsi="Times New Roman" w:eastAsia="宋体" w:cs="Times New Roman"/>
          <w:b/>
          <w:sz w:val="30"/>
          <w:szCs w:val="30"/>
        </w:rPr>
      </w:pPr>
    </w:p>
    <w:p>
      <w:pPr>
        <w:spacing w:line="440" w:lineRule="exact"/>
        <w:jc w:val="center"/>
        <w:rPr>
          <w:rFonts w:hint="default" w:ascii="Times New Roman" w:hAnsi="Times New Roman" w:eastAsia="宋体" w:cs="Times New Roman"/>
          <w:b/>
          <w:sz w:val="30"/>
          <w:szCs w:val="30"/>
        </w:rPr>
      </w:pPr>
    </w:p>
    <w:p>
      <w:pPr>
        <w:spacing w:line="440" w:lineRule="exact"/>
        <w:ind w:left="1940" w:hanging="1662" w:hangingChars="69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b/>
          <w:sz w:val="24"/>
          <w:szCs w:val="24"/>
        </w:rPr>
        <w:t>估价项目名称：</w:t>
      </w:r>
      <w:r>
        <w:rPr>
          <w:rFonts w:hint="default" w:ascii="Times New Roman" w:hAnsi="Times New Roman" w:eastAsia="宋体" w:cs="Times New Roman"/>
          <w:color w:val="000000"/>
          <w:sz w:val="24"/>
          <w:szCs w:val="24"/>
          <w:lang w:eastAsia="zh-CN"/>
        </w:rPr>
        <w:t>中国信达资产管理股份有限公司山东省分公司拟</w:t>
      </w:r>
      <w:r>
        <w:rPr>
          <w:rFonts w:hint="default" w:ascii="Times New Roman" w:hAnsi="Times New Roman" w:cs="Times New Roman"/>
          <w:color w:val="000000"/>
          <w:sz w:val="24"/>
          <w:szCs w:val="24"/>
          <w:lang w:eastAsia="zh-CN"/>
        </w:rPr>
        <w:t>处置</w:t>
      </w:r>
      <w:r>
        <w:rPr>
          <w:rFonts w:hint="eastAsia" w:ascii="Times New Roman" w:hAnsi="Times New Roman" w:cs="Times New Roman"/>
          <w:color w:val="000000"/>
          <w:sz w:val="24"/>
          <w:szCs w:val="24"/>
          <w:lang w:eastAsia="zh-CN"/>
        </w:rPr>
        <w:t>烟台市永旺钢材城有限责任公司不良债权涉</w:t>
      </w:r>
      <w:r>
        <w:rPr>
          <w:rFonts w:hint="default" w:ascii="Times New Roman" w:hAnsi="Times New Roman" w:cs="Times New Roman"/>
          <w:color w:val="000000"/>
          <w:sz w:val="24"/>
          <w:szCs w:val="24"/>
          <w:lang w:eastAsia="zh-CN"/>
        </w:rPr>
        <w:t>及的房产和土地使用权</w:t>
      </w:r>
      <w:r>
        <w:rPr>
          <w:rFonts w:hint="default" w:ascii="Times New Roman" w:hAnsi="Times New Roman" w:eastAsia="宋体" w:cs="Times New Roman"/>
          <w:color w:val="000000"/>
          <w:sz w:val="24"/>
          <w:szCs w:val="24"/>
        </w:rPr>
        <w:t>价值</w:t>
      </w:r>
      <w:r>
        <w:rPr>
          <w:rFonts w:hint="default" w:ascii="Times New Roman" w:hAnsi="Times New Roman" w:cs="Times New Roman"/>
          <w:sz w:val="24"/>
          <w:szCs w:val="24"/>
          <w:lang w:eastAsia="zh-CN"/>
        </w:rPr>
        <w:t>评估</w:t>
      </w:r>
    </w:p>
    <w:p>
      <w:pPr>
        <w:spacing w:line="44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b/>
          <w:sz w:val="24"/>
          <w:szCs w:val="24"/>
        </w:rPr>
        <w:t>估价委托人</w:t>
      </w:r>
      <w:r>
        <w:rPr>
          <w:rFonts w:hint="default" w:ascii="Times New Roman" w:hAnsi="Times New Roman" w:eastAsia="宋体" w:cs="Times New Roman"/>
          <w:b/>
          <w:bCs/>
          <w:sz w:val="24"/>
          <w:szCs w:val="24"/>
        </w:rPr>
        <w:t>：</w:t>
      </w:r>
      <w:r>
        <w:rPr>
          <w:rFonts w:hint="default" w:ascii="Times New Roman" w:hAnsi="Times New Roman" w:eastAsia="宋体" w:cs="Times New Roman"/>
          <w:color w:val="000000"/>
          <w:sz w:val="24"/>
          <w:szCs w:val="24"/>
          <w:lang w:eastAsia="zh-CN"/>
        </w:rPr>
        <w:t>中国信达资产管理股份有限公司山东省分公司</w:t>
      </w:r>
    </w:p>
    <w:p>
      <w:pPr>
        <w:spacing w:line="440" w:lineRule="exact"/>
        <w:ind w:right="1678"/>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房地产估价机构：</w:t>
      </w:r>
      <w:r>
        <w:rPr>
          <w:rFonts w:hint="default" w:ascii="Times New Roman" w:hAnsi="Times New Roman" w:eastAsia="宋体" w:cs="Times New Roman"/>
          <w:sz w:val="24"/>
          <w:szCs w:val="24"/>
        </w:rPr>
        <w:t>山东舜华房地产评估造价咨询有限公司</w:t>
      </w:r>
    </w:p>
    <w:p>
      <w:pPr>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注册房地产估价师</w:t>
      </w:r>
      <w:r>
        <w:rPr>
          <w:rFonts w:hint="default" w:ascii="Times New Roman" w:hAnsi="Times New Roman" w:eastAsia="宋体" w:cs="Times New Roman"/>
          <w:sz w:val="24"/>
          <w:szCs w:val="24"/>
        </w:rPr>
        <w:t>：展焕强（注册号3720040158）</w:t>
      </w:r>
    </w:p>
    <w:p>
      <w:pPr>
        <w:ind w:firstLine="2160" w:firstLineChars="900"/>
        <w:jc w:val="both"/>
        <w:rPr>
          <w:rFonts w:hint="default" w:ascii="Times New Roman" w:hAnsi="Times New Roman" w:eastAsia="宋体" w:cs="Times New Roman"/>
          <w:bCs/>
          <w:sz w:val="24"/>
          <w:szCs w:val="24"/>
        </w:rPr>
      </w:pPr>
      <w:r>
        <w:rPr>
          <w:rFonts w:hint="default" w:ascii="Times New Roman" w:hAnsi="Times New Roman" w:cs="Times New Roman"/>
          <w:sz w:val="24"/>
          <w:szCs w:val="24"/>
          <w:lang w:eastAsia="zh-CN"/>
        </w:rPr>
        <w:t>韩东华</w:t>
      </w:r>
      <w:r>
        <w:rPr>
          <w:rFonts w:hint="default" w:ascii="Times New Roman" w:hAnsi="Times New Roman" w:eastAsia="宋体" w:cs="Times New Roman"/>
          <w:sz w:val="24"/>
          <w:szCs w:val="24"/>
        </w:rPr>
        <w:t>（注册号</w:t>
      </w:r>
      <w:r>
        <w:rPr>
          <w:rFonts w:hint="default" w:ascii="Times New Roman" w:hAnsi="Times New Roman" w:cs="Times New Roman"/>
          <w:color w:val="auto"/>
          <w:sz w:val="24"/>
          <w:szCs w:val="24"/>
          <w:lang w:eastAsia="zh-CN"/>
        </w:rPr>
        <w:t>3720170088</w:t>
      </w:r>
      <w:r>
        <w:rPr>
          <w:rFonts w:hint="default" w:ascii="Times New Roman" w:hAnsi="Times New Roman" w:eastAsia="宋体" w:cs="Times New Roman"/>
          <w:color w:val="auto"/>
          <w:sz w:val="24"/>
          <w:szCs w:val="24"/>
        </w:rPr>
        <w:t xml:space="preserve">） </w:t>
      </w:r>
    </w:p>
    <w:p>
      <w:pPr>
        <w:spacing w:line="440" w:lineRule="exact"/>
        <w:ind w:right="111"/>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sz w:val="24"/>
          <w:szCs w:val="24"/>
        </w:rPr>
        <w:t>报告出具日期：</w:t>
      </w:r>
      <w:r>
        <w:rPr>
          <w:rFonts w:hint="eastAsia" w:ascii="Times New Roman" w:hAnsi="Times New Roman" w:cs="Times New Roman"/>
          <w:bCs/>
          <w:sz w:val="24"/>
          <w:szCs w:val="24"/>
          <w:lang w:eastAsia="zh-CN"/>
        </w:rPr>
        <w:t>2022年10月13日</w:t>
      </w:r>
    </w:p>
    <w:p>
      <w:pPr>
        <w:spacing w:line="440" w:lineRule="exac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sz w:val="24"/>
          <w:szCs w:val="24"/>
        </w:rPr>
        <w:t>估价报告编号：</w:t>
      </w:r>
      <w:r>
        <w:rPr>
          <w:rFonts w:hint="default" w:ascii="Times New Roman" w:hAnsi="Times New Roman" w:eastAsia="宋体" w:cs="Times New Roman"/>
          <w:color w:val="auto"/>
          <w:sz w:val="24"/>
          <w:szCs w:val="24"/>
          <w:highlight w:val="none"/>
        </w:rPr>
        <w:t>鲁舜华房</w:t>
      </w:r>
      <w:r>
        <w:rPr>
          <w:rFonts w:hint="default" w:ascii="Times New Roman" w:hAnsi="Times New Roman" w:cs="Times New Roman"/>
          <w:color w:val="auto"/>
          <w:sz w:val="24"/>
          <w:szCs w:val="24"/>
          <w:highlight w:val="none"/>
          <w:lang w:eastAsia="zh-CN"/>
        </w:rPr>
        <w:t>估</w:t>
      </w:r>
      <w:r>
        <w:rPr>
          <w:rFonts w:hint="default" w:ascii="Times New Roman" w:hAnsi="Times New Roman" w:eastAsia="宋体" w:cs="Times New Roman"/>
          <w:color w:val="auto"/>
          <w:sz w:val="24"/>
          <w:szCs w:val="24"/>
          <w:highlight w:val="none"/>
        </w:rPr>
        <w:t>字（202</w:t>
      </w:r>
      <w:r>
        <w:rPr>
          <w:rFonts w:hint="default"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第</w:t>
      </w:r>
      <w:r>
        <w:rPr>
          <w:rFonts w:hint="default"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109</w:t>
      </w:r>
      <w:r>
        <w:rPr>
          <w:rFonts w:hint="default" w:ascii="Times New Roman" w:hAnsi="Times New Roman" w:eastAsia="宋体" w:cs="Times New Roman"/>
          <w:color w:val="auto"/>
          <w:sz w:val="24"/>
          <w:szCs w:val="24"/>
          <w:highlight w:val="none"/>
          <w:lang w:val="en-US" w:eastAsia="zh-CN"/>
        </w:rPr>
        <w:t>号</w:t>
      </w:r>
    </w:p>
    <w:p>
      <w:pPr>
        <w:spacing w:line="440" w:lineRule="exact"/>
        <w:rPr>
          <w:rFonts w:hint="default" w:ascii="Times New Roman" w:hAnsi="Times New Roman" w:eastAsia="宋体" w:cs="Times New Roman"/>
          <w:b/>
          <w:color w:val="auto"/>
          <w:sz w:val="24"/>
          <w:szCs w:val="24"/>
        </w:rPr>
        <w:sectPr>
          <w:footerReference r:id="rId5" w:type="default"/>
          <w:footerReference r:id="rId6" w:type="even"/>
          <w:pgSz w:w="11906" w:h="16838"/>
          <w:pgMar w:top="1191" w:right="1304" w:bottom="1134" w:left="1361" w:header="851" w:footer="850" w:gutter="0"/>
          <w:pgBorders>
            <w:top w:val="none" w:sz="0" w:space="0"/>
            <w:left w:val="none" w:sz="0" w:space="0"/>
            <w:bottom w:val="none" w:sz="0" w:space="0"/>
            <w:right w:val="none" w:sz="0" w:space="0"/>
          </w:pgBorders>
          <w:pgNumType w:start="0"/>
          <w:cols w:space="0" w:num="1"/>
          <w:rtlGutter w:val="0"/>
          <w:docGrid w:type="lines" w:linePitch="289" w:charSpace="0"/>
        </w:sect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致</w:t>
      </w:r>
      <w:r>
        <w:rPr>
          <w:rFonts w:hint="default" w:ascii="Times New Roman" w:hAnsi="Times New Roman" w:cs="Times New Roman"/>
          <w:b/>
          <w:sz w:val="32"/>
          <w:szCs w:val="32"/>
          <w:lang w:eastAsia="zh-CN"/>
        </w:rPr>
        <w:t>估价</w:t>
      </w:r>
      <w:r>
        <w:rPr>
          <w:rFonts w:hint="default" w:ascii="Times New Roman" w:hAnsi="Times New Roman" w:eastAsia="宋体" w:cs="Times New Roman"/>
          <w:b/>
          <w:sz w:val="32"/>
          <w:szCs w:val="32"/>
        </w:rPr>
        <w:t>委托人函</w:t>
      </w:r>
    </w:p>
    <w:p>
      <w:pPr>
        <w:keepNext w:val="0"/>
        <w:keepLines w:val="0"/>
        <w:pageBreakBefore w:val="0"/>
        <w:widowControl/>
        <w:kinsoku/>
        <w:wordWrap/>
        <w:overflowPunct/>
        <w:topLinePunct w:val="0"/>
        <w:autoSpaceDE/>
        <w:autoSpaceDN/>
        <w:bidi w:val="0"/>
        <w:adjustRightInd/>
        <w:snapToGrid/>
        <w:spacing w:after="0" w:line="520"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sz w:val="24"/>
          <w:szCs w:val="24"/>
          <w:lang w:eastAsia="zh-CN"/>
        </w:rPr>
        <w:t>中国信达资产管理股份有限公司山东省分公司</w:t>
      </w:r>
      <w:r>
        <w:rPr>
          <w:rFonts w:hint="default" w:ascii="Times New Roman" w:hAnsi="Times New Roman" w:eastAsia="宋体" w:cs="Times New Roman"/>
          <w:b/>
          <w:bCs/>
          <w:sz w:val="24"/>
          <w:szCs w:val="24"/>
        </w:rPr>
        <w:t>：</w:t>
      </w:r>
    </w:p>
    <w:p>
      <w:pPr>
        <w:keepNext w:val="0"/>
        <w:keepLines w:val="0"/>
        <w:pageBreakBefore w:val="0"/>
        <w:widowControl/>
        <w:kinsoku/>
        <w:wordWrap/>
        <w:overflowPunct/>
        <w:topLinePunct w:val="0"/>
        <w:autoSpaceDE/>
        <w:autoSpaceDN/>
        <w:bidi w:val="0"/>
        <w:adjustRightInd/>
        <w:snapToGrid/>
        <w:spacing w:after="0" w:line="520" w:lineRule="exact"/>
        <w:ind w:firstLine="538"/>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受贵单位委托，本公司对</w:t>
      </w:r>
      <w:r>
        <w:rPr>
          <w:rFonts w:hint="default" w:ascii="Times New Roman" w:hAnsi="Times New Roman" w:eastAsia="宋体" w:cs="Times New Roman"/>
          <w:sz w:val="24"/>
          <w:szCs w:val="24"/>
          <w:lang w:eastAsia="zh-CN"/>
        </w:rPr>
        <w:t>拟处置</w:t>
      </w:r>
      <w:r>
        <w:rPr>
          <w:rFonts w:hint="eastAsia" w:ascii="Times New Roman" w:hAnsi="Times New Roman" w:cs="Times New Roman"/>
          <w:sz w:val="24"/>
          <w:szCs w:val="24"/>
          <w:lang w:eastAsia="zh-CN"/>
        </w:rPr>
        <w:t>烟台市永旺钢材城有限责任公司不良债权涉</w:t>
      </w:r>
      <w:r>
        <w:rPr>
          <w:rFonts w:hint="default" w:ascii="Times New Roman" w:hAnsi="Times New Roman" w:eastAsia="宋体" w:cs="Times New Roman"/>
          <w:sz w:val="24"/>
          <w:szCs w:val="24"/>
          <w:lang w:eastAsia="zh-CN"/>
        </w:rPr>
        <w:t>及的房产和土地使用权</w:t>
      </w:r>
      <w:r>
        <w:rPr>
          <w:rFonts w:hint="default" w:ascii="Times New Roman" w:hAnsi="Times New Roman" w:eastAsia="宋体" w:cs="Times New Roman"/>
          <w:sz w:val="24"/>
          <w:szCs w:val="24"/>
        </w:rPr>
        <w:t>（以下简称“估价对象”）进行了实地查勘。评估工作现已完成，现将报告主要内容说明如下：</w:t>
      </w:r>
    </w:p>
    <w:p>
      <w:pPr>
        <w:keepNext w:val="0"/>
        <w:keepLines w:val="0"/>
        <w:pageBreakBefore w:val="0"/>
        <w:widowControl/>
        <w:kinsoku/>
        <w:wordWrap/>
        <w:overflowPunct/>
        <w:topLinePunct w:val="0"/>
        <w:autoSpaceDE/>
        <w:autoSpaceDN/>
        <w:bidi w:val="0"/>
        <w:adjustRightInd/>
        <w:snapToGrid/>
        <w:spacing w:after="0" w:line="520" w:lineRule="exact"/>
        <w:ind w:firstLine="538"/>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估价</w:t>
      </w:r>
      <w:r>
        <w:rPr>
          <w:rFonts w:hint="default" w:ascii="Times New Roman" w:hAnsi="Times New Roman" w:eastAsia="宋体" w:cs="Times New Roman"/>
          <w:sz w:val="24"/>
          <w:szCs w:val="24"/>
        </w:rPr>
        <w:t>目的：</w:t>
      </w:r>
      <w:r>
        <w:rPr>
          <w:rFonts w:hint="default" w:ascii="Times New Roman" w:hAnsi="Times New Roman" w:eastAsia="宋体" w:cs="Times New Roman"/>
          <w:sz w:val="24"/>
          <w:szCs w:val="24"/>
          <w:lang w:eastAsia="zh-CN"/>
        </w:rPr>
        <w:t>为中国信达资产管理股份有限公司山东省分公司拟处置</w:t>
      </w:r>
      <w:r>
        <w:rPr>
          <w:rFonts w:hint="eastAsia" w:ascii="Times New Roman" w:hAnsi="Times New Roman" w:cs="Times New Roman"/>
          <w:sz w:val="24"/>
          <w:szCs w:val="24"/>
          <w:lang w:eastAsia="zh-CN"/>
        </w:rPr>
        <w:t>烟台市永旺钢材城有限责任公司不良债权涉</w:t>
      </w:r>
      <w:r>
        <w:rPr>
          <w:rFonts w:hint="default" w:ascii="Times New Roman" w:hAnsi="Times New Roman" w:eastAsia="宋体" w:cs="Times New Roman"/>
          <w:sz w:val="24"/>
          <w:szCs w:val="24"/>
          <w:lang w:val="en-US" w:eastAsia="zh-CN"/>
        </w:rPr>
        <w:t>及的房产和土地使用权提供价值参考和意见。</w:t>
      </w:r>
    </w:p>
    <w:p>
      <w:pPr>
        <w:keepNext w:val="0"/>
        <w:keepLines w:val="0"/>
        <w:pageBreakBefore w:val="0"/>
        <w:widowControl/>
        <w:kinsoku/>
        <w:wordWrap/>
        <w:overflowPunct/>
        <w:topLinePunct w:val="0"/>
        <w:autoSpaceDE/>
        <w:autoSpaceDN/>
        <w:bidi w:val="0"/>
        <w:adjustRightInd/>
        <w:snapToGrid/>
        <w:spacing w:after="0" w:line="520" w:lineRule="exact"/>
        <w:ind w:firstLine="538"/>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估价对象：根据估价委托人提供的资料估价对象为债务人</w:t>
      </w:r>
      <w:r>
        <w:rPr>
          <w:rFonts w:hint="eastAsia" w:ascii="Times New Roman" w:hAnsi="Times New Roman" w:cs="Times New Roman"/>
          <w:sz w:val="24"/>
          <w:szCs w:val="24"/>
          <w:lang w:eastAsia="zh-CN"/>
        </w:rPr>
        <w:t>烟台市永旺钢材城有限责任公司</w:t>
      </w:r>
      <w:r>
        <w:rPr>
          <w:rFonts w:hint="default" w:ascii="Times New Roman" w:hAnsi="Times New Roman" w:eastAsia="宋体" w:cs="Times New Roman"/>
          <w:sz w:val="24"/>
          <w:szCs w:val="24"/>
        </w:rPr>
        <w:t>所涉及</w:t>
      </w:r>
      <w:r>
        <w:rPr>
          <w:rFonts w:hint="default" w:ascii="Times New Roman" w:hAnsi="Times New Roman" w:eastAsia="宋体" w:cs="Times New Roman"/>
          <w:sz w:val="24"/>
          <w:szCs w:val="24"/>
          <w:lang w:eastAsia="zh-CN"/>
        </w:rPr>
        <w:t>的房产、土地使用权</w:t>
      </w:r>
      <w:r>
        <w:rPr>
          <w:rFonts w:hint="default" w:ascii="Times New Roman" w:hAnsi="Times New Roman" w:eastAsia="宋体" w:cs="Times New Roman"/>
          <w:sz w:val="24"/>
          <w:szCs w:val="24"/>
        </w:rPr>
        <w:t>，具体情况见下表。</w:t>
      </w:r>
    </w:p>
    <w:p>
      <w:pPr>
        <w:spacing w:after="0" w:line="560" w:lineRule="exact"/>
        <w:ind w:firstLine="538"/>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拟处置债权涉及的</w:t>
      </w:r>
      <w:r>
        <w:rPr>
          <w:rFonts w:hint="default" w:ascii="Times New Roman" w:hAnsi="Times New Roman" w:cs="Times New Roman"/>
          <w:sz w:val="24"/>
          <w:szCs w:val="24"/>
          <w:lang w:eastAsia="zh-CN"/>
        </w:rPr>
        <w:t>资产</w:t>
      </w:r>
      <w:r>
        <w:rPr>
          <w:rFonts w:hint="default" w:ascii="Times New Roman" w:hAnsi="Times New Roman" w:eastAsia="宋体" w:cs="Times New Roman"/>
          <w:sz w:val="24"/>
          <w:szCs w:val="24"/>
        </w:rPr>
        <w:t>基本信息</w:t>
      </w:r>
    </w:p>
    <w:tbl>
      <w:tblPr>
        <w:tblStyle w:val="36"/>
        <w:tblW w:w="4995" w:type="pct"/>
        <w:tblInd w:w="0"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686"/>
        <w:gridCol w:w="1367"/>
        <w:gridCol w:w="947"/>
        <w:gridCol w:w="1814"/>
        <w:gridCol w:w="636"/>
        <w:gridCol w:w="612"/>
        <w:gridCol w:w="636"/>
        <w:gridCol w:w="636"/>
        <w:gridCol w:w="1068"/>
        <w:gridCol w:w="1047"/>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3" w:hRule="atLeast"/>
        </w:trPr>
        <w:tc>
          <w:tcPr>
            <w:tcW w:w="36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资产</w:t>
            </w:r>
          </w:p>
        </w:tc>
        <w:tc>
          <w:tcPr>
            <w:tcW w:w="7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产权证书</w:t>
            </w:r>
          </w:p>
        </w:tc>
        <w:tc>
          <w:tcPr>
            <w:tcW w:w="50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产权登记人</w:t>
            </w:r>
          </w:p>
        </w:tc>
        <w:tc>
          <w:tcPr>
            <w:tcW w:w="959"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坐落</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用途</w:t>
            </w:r>
          </w:p>
        </w:tc>
        <w:tc>
          <w:tcPr>
            <w:tcW w:w="3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开发程度</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结构</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总层数</w:t>
            </w:r>
          </w:p>
        </w:tc>
        <w:tc>
          <w:tcPr>
            <w:tcW w:w="56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 xml:space="preserve"> 数量（㎡） </w:t>
            </w:r>
          </w:p>
        </w:tc>
        <w:tc>
          <w:tcPr>
            <w:tcW w:w="55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highlight w:val="none"/>
                <w:lang w:val="en-US" w:eastAsia="zh-CN"/>
                <w14:textFill>
                  <w14:solidFill>
                    <w14:schemeClr w14:val="tx1"/>
                  </w14:solidFill>
                </w14:textFill>
              </w:rPr>
              <w:t>建成年代/终止日期</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90" w:hRule="atLeast"/>
        </w:trPr>
        <w:tc>
          <w:tcPr>
            <w:tcW w:w="36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房产</w:t>
            </w:r>
          </w:p>
        </w:tc>
        <w:tc>
          <w:tcPr>
            <w:tcW w:w="7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海房权证东村字第023159号</w:t>
            </w:r>
          </w:p>
        </w:tc>
        <w:tc>
          <w:tcPr>
            <w:tcW w:w="501" w:type="pct"/>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海阳市樱坤物资贸易有限公司</w:t>
            </w:r>
          </w:p>
        </w:tc>
        <w:tc>
          <w:tcPr>
            <w:tcW w:w="959"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海阳市东村工业园区</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工业</w:t>
            </w:r>
          </w:p>
        </w:tc>
        <w:tc>
          <w:tcPr>
            <w:tcW w:w="3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钢</w:t>
            </w: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1/1</w:t>
            </w:r>
          </w:p>
        </w:tc>
        <w:tc>
          <w:tcPr>
            <w:tcW w:w="56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2,584.85 </w:t>
            </w:r>
          </w:p>
        </w:tc>
        <w:tc>
          <w:tcPr>
            <w:tcW w:w="55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2005</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3" w:hRule="atLeast"/>
        </w:trPr>
        <w:tc>
          <w:tcPr>
            <w:tcW w:w="36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土地</w:t>
            </w:r>
          </w:p>
        </w:tc>
        <w:tc>
          <w:tcPr>
            <w:tcW w:w="7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海国用（2008）第003号</w:t>
            </w:r>
          </w:p>
        </w:tc>
        <w:tc>
          <w:tcPr>
            <w:tcW w:w="501" w:type="pct"/>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959"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海阳市东村工业组团</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工业用地</w:t>
            </w:r>
          </w:p>
        </w:tc>
        <w:tc>
          <w:tcPr>
            <w:tcW w:w="3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五通一平</w:t>
            </w: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56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9,396.08 </w:t>
            </w:r>
          </w:p>
        </w:tc>
        <w:tc>
          <w:tcPr>
            <w:tcW w:w="554"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2056/12/27</w:t>
            </w:r>
          </w:p>
        </w:tc>
      </w:tr>
    </w:tbl>
    <w:p>
      <w:pPr>
        <w:keepNext w:val="0"/>
        <w:keepLines w:val="0"/>
        <w:pageBreakBefore w:val="0"/>
        <w:widowControl/>
        <w:kinsoku/>
        <w:wordWrap/>
        <w:overflowPunct/>
        <w:topLinePunct w:val="0"/>
        <w:autoSpaceDE/>
        <w:autoSpaceDN/>
        <w:bidi w:val="0"/>
        <w:adjustRightInd/>
        <w:snapToGrid/>
        <w:spacing w:after="0" w:line="52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价值时点：</w:t>
      </w:r>
      <w:r>
        <w:rPr>
          <w:rFonts w:hint="eastAsia" w:ascii="Times New Roman" w:hAnsi="Times New Roman" w:cs="Times New Roman"/>
          <w:sz w:val="24"/>
          <w:szCs w:val="24"/>
          <w:lang w:eastAsia="zh-CN"/>
        </w:rPr>
        <w:t>2022年9月30日</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52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价值类型：</w:t>
      </w:r>
      <w:r>
        <w:rPr>
          <w:rFonts w:hint="default" w:ascii="Times New Roman" w:hAnsi="Times New Roman" w:eastAsia="宋体" w:cs="Times New Roman"/>
          <w:sz w:val="24"/>
          <w:szCs w:val="24"/>
        </w:rPr>
        <w:t>本报告的估价结果所采用价值类型为快速变现价值。是指在分析对象处于被迫出售、快速变现等非正常市场条件下的价值估计数额。</w:t>
      </w:r>
    </w:p>
    <w:p>
      <w:pPr>
        <w:keepNext w:val="0"/>
        <w:keepLines w:val="0"/>
        <w:pageBreakBefore w:val="0"/>
        <w:widowControl/>
        <w:kinsoku/>
        <w:wordWrap/>
        <w:overflowPunct/>
        <w:topLinePunct w:val="0"/>
        <w:autoSpaceDE/>
        <w:autoSpaceDN/>
        <w:bidi w:val="0"/>
        <w:adjustRightInd/>
        <w:snapToGrid/>
        <w:spacing w:after="0" w:line="52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估价方法：</w:t>
      </w:r>
      <w:r>
        <w:rPr>
          <w:rFonts w:hint="default" w:ascii="Times New Roman" w:hAnsi="Times New Roman" w:eastAsia="宋体" w:cs="Times New Roman"/>
          <w:bCs/>
          <w:sz w:val="24"/>
          <w:szCs w:val="24"/>
        </w:rPr>
        <w:t>根据本次委估房地产的特点和实际情况，工业性房地产价值测算采用成本法，土地价值测算采用</w:t>
      </w:r>
      <w:r>
        <w:rPr>
          <w:rFonts w:hint="default" w:ascii="Times New Roman" w:hAnsi="Times New Roman" w:cs="Times New Roman"/>
          <w:bCs/>
          <w:sz w:val="24"/>
          <w:szCs w:val="24"/>
          <w:lang w:eastAsia="zh-CN"/>
        </w:rPr>
        <w:t>市场法和成本法</w:t>
      </w:r>
      <w:r>
        <w:rPr>
          <w:rFonts w:hint="default" w:ascii="Times New Roman" w:hAnsi="Times New Roman" w:eastAsia="宋体" w:cs="Times New Roman"/>
          <w:bCs/>
          <w:sz w:val="24"/>
          <w:szCs w:val="24"/>
        </w:rPr>
        <w:t>。</w:t>
      </w:r>
    </w:p>
    <w:p>
      <w:pPr>
        <w:keepNext w:val="0"/>
        <w:keepLines w:val="0"/>
        <w:pageBreakBefore w:val="0"/>
        <w:widowControl/>
        <w:kinsoku/>
        <w:wordWrap/>
        <w:overflowPunct/>
        <w:topLinePunct w:val="0"/>
        <w:autoSpaceDE/>
        <w:autoSpaceDN/>
        <w:bidi w:val="0"/>
        <w:adjustRightInd/>
        <w:snapToGrid/>
        <w:spacing w:after="0" w:line="52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估价结果：</w:t>
      </w:r>
      <w:r>
        <w:rPr>
          <w:rFonts w:hint="default" w:ascii="Times New Roman" w:hAnsi="Times New Roman" w:eastAsia="宋体" w:cs="Times New Roman"/>
          <w:sz w:val="24"/>
          <w:szCs w:val="24"/>
        </w:rPr>
        <w:t>注册房地产估价师根据《房地产估价规范》、《房地产估价基本术语标准》等法规、技术标准和估价对象的相关资料，遵循房地产估价的必要原则和程序，在认真分析所掌握资料与影响估价对象价值诸因素的基础上，采用适宜方法进行评估，最终确定估价对象在价值时点的价值</w:t>
      </w:r>
      <w:r>
        <w:rPr>
          <w:rFonts w:hint="default" w:ascii="Times New Roman" w:hAnsi="Times New Roman" w:cs="Times New Roman"/>
          <w:sz w:val="24"/>
          <w:szCs w:val="24"/>
          <w:lang w:eastAsia="zh-CN"/>
        </w:rPr>
        <w:t>如下</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520" w:lineRule="exact"/>
        <w:ind w:firstLine="482" w:firstLineChars="200"/>
        <w:jc w:val="both"/>
        <w:textAlignment w:val="auto"/>
        <w:rPr>
          <w:rFonts w:hint="default" w:ascii="Times New Roman" w:hAnsi="Times New Roman" w:cs="Times New Roman"/>
          <w:b/>
          <w:bCs/>
          <w:sz w:val="24"/>
          <w:szCs w:val="24"/>
          <w:lang w:val="en-US" w:eastAsia="zh-CN"/>
        </w:rPr>
      </w:pPr>
      <w:bookmarkStart w:id="68" w:name="_GoBack"/>
      <w:r>
        <w:rPr>
          <w:rFonts w:hint="default" w:ascii="Times New Roman" w:hAnsi="Times New Roman" w:cs="Times New Roman"/>
          <w:b/>
          <w:bCs/>
          <w:sz w:val="24"/>
          <w:szCs w:val="24"/>
          <w:lang w:eastAsia="zh-CN"/>
        </w:rPr>
        <w:t>市场价值：</w:t>
      </w:r>
      <w:r>
        <w:rPr>
          <w:rFonts w:hint="eastAsia" w:ascii="Times New Roman" w:hAnsi="Times New Roman" w:cs="Times New Roman"/>
          <w:b/>
          <w:bCs/>
          <w:sz w:val="24"/>
          <w:szCs w:val="24"/>
          <w:lang w:eastAsia="zh-CN"/>
        </w:rPr>
        <w:t xml:space="preserve">4,006,343.00 </w:t>
      </w:r>
      <w:r>
        <w:rPr>
          <w:rFonts w:hint="default" w:ascii="Times New Roman" w:hAnsi="Times New Roman" w:cs="Times New Roman"/>
          <w:b/>
          <w:bCs/>
          <w:sz w:val="24"/>
          <w:szCs w:val="24"/>
          <w:lang w:eastAsia="zh-CN"/>
        </w:rPr>
        <w:t>元</w:t>
      </w:r>
      <w:r>
        <w:rPr>
          <w:rFonts w:hint="default" w:ascii="Times New Roman" w:hAnsi="Times New Roman" w:cs="Times New Roman"/>
          <w:b/>
          <w:bCs/>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0" w:line="52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eastAsia="宋体" w:cs="Times New Roman"/>
          <w:b/>
          <w:bCs/>
          <w:sz w:val="24"/>
          <w:szCs w:val="24"/>
        </w:rPr>
        <w:t>大写</w:t>
      </w:r>
      <w:r>
        <w:rPr>
          <w:rFonts w:hint="default" w:ascii="Times New Roman" w:hAnsi="Times New Roman" w:cs="Times New Roman"/>
          <w:b/>
          <w:bCs/>
          <w:sz w:val="24"/>
          <w:szCs w:val="24"/>
          <w:lang w:eastAsia="zh-CN"/>
        </w:rPr>
        <w:t>（人民币）</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eastAsia="zh-CN"/>
        </w:rPr>
        <w:t>肆佰万陆仟叁佰肆拾叁</w:t>
      </w:r>
      <w:r>
        <w:rPr>
          <w:rFonts w:hint="default" w:ascii="Times New Roman" w:hAnsi="Times New Roman" w:cs="Times New Roman"/>
          <w:b/>
          <w:bCs/>
          <w:sz w:val="24"/>
          <w:szCs w:val="24"/>
          <w:lang w:eastAsia="zh-CN"/>
        </w:rPr>
        <w:t>元整</w:t>
      </w:r>
      <w:r>
        <w:rPr>
          <w:rFonts w:hint="default" w:ascii="Times New Roman" w:hAnsi="Times New Roman" w:eastAsia="宋体" w:cs="Times New Roman"/>
          <w:b/>
          <w:bCs/>
          <w:sz w:val="24"/>
          <w:szCs w:val="24"/>
        </w:rPr>
        <w:t>。</w:t>
      </w:r>
    </w:p>
    <w:p>
      <w:pPr>
        <w:keepNext w:val="0"/>
        <w:keepLines w:val="0"/>
        <w:pageBreakBefore w:val="0"/>
        <w:widowControl/>
        <w:kinsoku/>
        <w:wordWrap/>
        <w:overflowPunct/>
        <w:topLinePunct w:val="0"/>
        <w:autoSpaceDE/>
        <w:autoSpaceDN/>
        <w:bidi w:val="0"/>
        <w:adjustRightInd/>
        <w:snapToGrid/>
        <w:spacing w:after="0" w:line="52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变现价值：</w:t>
      </w:r>
      <w:r>
        <w:rPr>
          <w:rFonts w:hint="eastAsia" w:ascii="Times New Roman" w:hAnsi="Times New Roman" w:cs="Times New Roman"/>
          <w:b/>
          <w:bCs/>
          <w:sz w:val="24"/>
          <w:szCs w:val="24"/>
          <w:lang w:eastAsia="zh-CN"/>
        </w:rPr>
        <w:t>2,804,440.00</w:t>
      </w:r>
      <w:r>
        <w:rPr>
          <w:rFonts w:hint="default" w:ascii="Times New Roman" w:hAnsi="Times New Roman" w:cs="Times New Roman"/>
          <w:b/>
          <w:bCs/>
          <w:sz w:val="24"/>
          <w:szCs w:val="24"/>
          <w:lang w:eastAsia="zh-CN"/>
        </w:rPr>
        <w:t>元；</w:t>
      </w:r>
    </w:p>
    <w:p>
      <w:pPr>
        <w:keepNext w:val="0"/>
        <w:keepLines w:val="0"/>
        <w:pageBreakBefore w:val="0"/>
        <w:widowControl/>
        <w:kinsoku/>
        <w:wordWrap/>
        <w:overflowPunct/>
        <w:topLinePunct w:val="0"/>
        <w:autoSpaceDE/>
        <w:autoSpaceDN/>
        <w:bidi w:val="0"/>
        <w:adjustRightInd/>
        <w:snapToGrid/>
        <w:spacing w:after="0" w:line="52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eastAsia="宋体" w:cs="Times New Roman"/>
          <w:b/>
          <w:bCs/>
          <w:sz w:val="24"/>
          <w:szCs w:val="24"/>
        </w:rPr>
        <w:t>大写</w:t>
      </w:r>
      <w:r>
        <w:rPr>
          <w:rFonts w:hint="default" w:ascii="Times New Roman" w:hAnsi="Times New Roman" w:cs="Times New Roman"/>
          <w:b/>
          <w:bCs/>
          <w:sz w:val="24"/>
          <w:szCs w:val="24"/>
          <w:lang w:eastAsia="zh-CN"/>
        </w:rPr>
        <w:t>（人民币）</w:t>
      </w:r>
      <w:r>
        <w:rPr>
          <w:rFonts w:hint="default" w:ascii="Times New Roman" w:hAnsi="Times New Roman" w:eastAsia="宋体" w:cs="Times New Roman"/>
          <w:b/>
          <w:bCs/>
          <w:sz w:val="24"/>
          <w:szCs w:val="24"/>
        </w:rPr>
        <w:t>：</w:t>
      </w:r>
      <w:r>
        <w:rPr>
          <w:rFonts w:hint="eastAsia" w:ascii="Times New Roman" w:hAnsi="Times New Roman" w:cs="Times New Roman"/>
          <w:b/>
          <w:bCs/>
          <w:sz w:val="24"/>
          <w:szCs w:val="24"/>
          <w:lang w:eastAsia="zh-CN"/>
        </w:rPr>
        <w:t>贰佰捌拾万肆仟肆佰肆拾</w:t>
      </w:r>
      <w:r>
        <w:rPr>
          <w:rFonts w:hint="default" w:ascii="Times New Roman" w:hAnsi="Times New Roman" w:cs="Times New Roman"/>
          <w:b/>
          <w:bCs/>
          <w:sz w:val="24"/>
          <w:szCs w:val="24"/>
          <w:lang w:eastAsia="zh-CN"/>
        </w:rPr>
        <w:t>元整</w:t>
      </w:r>
      <w:r>
        <w:rPr>
          <w:rFonts w:hint="default" w:ascii="Times New Roman" w:hAnsi="Times New Roman" w:eastAsia="宋体" w:cs="Times New Roman"/>
          <w:b/>
          <w:bCs/>
          <w:sz w:val="24"/>
          <w:szCs w:val="24"/>
        </w:rPr>
        <w:t>。</w:t>
      </w:r>
    </w:p>
    <w:bookmarkEnd w:id="68"/>
    <w:p>
      <w:pPr>
        <w:keepNext w:val="0"/>
        <w:keepLines w:val="0"/>
        <w:pageBreakBefore w:val="0"/>
        <w:widowControl/>
        <w:kinsoku/>
        <w:wordWrap/>
        <w:overflowPunct/>
        <w:topLinePunct w:val="0"/>
        <w:autoSpaceDE/>
        <w:autoSpaceDN/>
        <w:bidi w:val="0"/>
        <w:adjustRightInd/>
        <w:snapToGrid/>
        <w:spacing w:after="0" w:line="520" w:lineRule="exact"/>
        <w:ind w:firstLine="482" w:firstLineChars="200"/>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估价结果详见《估价结果一览表》。</w:t>
      </w:r>
    </w:p>
    <w:p>
      <w:pPr>
        <w:keepNext w:val="0"/>
        <w:keepLines w:val="0"/>
        <w:pageBreakBefore w:val="0"/>
        <w:widowControl/>
        <w:kinsoku/>
        <w:wordWrap/>
        <w:overflowPunct/>
        <w:topLinePunct w:val="0"/>
        <w:autoSpaceDE/>
        <w:autoSpaceDN/>
        <w:bidi w:val="0"/>
        <w:adjustRightInd/>
        <w:snapToGrid/>
        <w:spacing w:after="0"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注：1、本次评估对象依据中国信达资产管理股份有限公司山东省分公司提供产权资料</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房屋所有权证</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土地使用权证</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及其他证件资料</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估价对象依据现场</w:t>
      </w:r>
      <w:r>
        <w:rPr>
          <w:rFonts w:hint="default" w:ascii="Times New Roman" w:hAnsi="Times New Roman" w:cs="Times New Roman"/>
          <w:sz w:val="24"/>
          <w:szCs w:val="24"/>
          <w:highlight w:val="none"/>
          <w:lang w:eastAsia="zh-CN"/>
        </w:rPr>
        <w:t>勘查</w:t>
      </w:r>
      <w:r>
        <w:rPr>
          <w:rFonts w:hint="default" w:ascii="Times New Roman" w:hAnsi="Times New Roman" w:eastAsia="宋体" w:cs="Times New Roman"/>
          <w:sz w:val="24"/>
          <w:szCs w:val="24"/>
        </w:rPr>
        <w:t>情况</w:t>
      </w:r>
      <w:r>
        <w:rPr>
          <w:rFonts w:hint="default" w:ascii="Times New Roman" w:hAnsi="Times New Roman" w:cs="Times New Roman"/>
          <w:sz w:val="24"/>
          <w:szCs w:val="24"/>
          <w:lang w:eastAsia="zh-CN"/>
        </w:rPr>
        <w:t>及《</w:t>
      </w:r>
      <w:r>
        <w:rPr>
          <w:rFonts w:hint="eastAsia" w:ascii="Times New Roman" w:hAnsi="Times New Roman" w:cs="Times New Roman"/>
          <w:color w:val="auto"/>
          <w:sz w:val="24"/>
          <w:szCs w:val="24"/>
          <w:lang w:eastAsia="zh-CN"/>
        </w:rPr>
        <w:t>他项权证</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等其他资料</w:t>
      </w:r>
      <w:r>
        <w:rPr>
          <w:rFonts w:hint="default" w:ascii="Times New Roman" w:hAnsi="Times New Roman" w:eastAsia="宋体" w:cs="Times New Roman"/>
          <w:color w:val="auto"/>
          <w:sz w:val="24"/>
          <w:szCs w:val="24"/>
          <w:lang w:eastAsia="zh-CN"/>
        </w:rPr>
        <w:t>确定</w:t>
      </w:r>
      <w:r>
        <w:rPr>
          <w:rFonts w:hint="default" w:ascii="Times New Roman" w:hAnsi="Times New Roman" w:eastAsia="宋体" w:cs="Times New Roman"/>
          <w:color w:val="auto"/>
          <w:sz w:val="24"/>
          <w:szCs w:val="24"/>
        </w:rPr>
        <w:t>，提请</w:t>
      </w:r>
      <w:r>
        <w:rPr>
          <w:rFonts w:hint="default" w:ascii="Times New Roman" w:hAnsi="Times New Roman" w:eastAsia="宋体" w:cs="Times New Roman"/>
          <w:sz w:val="24"/>
          <w:szCs w:val="24"/>
        </w:rPr>
        <w:t>报告使用人注意。</w:t>
      </w:r>
    </w:p>
    <w:p>
      <w:pPr>
        <w:keepNext w:val="0"/>
        <w:keepLines w:val="0"/>
        <w:pageBreakBefore w:val="0"/>
        <w:widowControl/>
        <w:kinsoku/>
        <w:wordWrap/>
        <w:overflowPunct/>
        <w:topLinePunct w:val="0"/>
        <w:autoSpaceDE/>
        <w:autoSpaceDN/>
        <w:bidi w:val="0"/>
        <w:adjustRightInd/>
        <w:snapToGrid/>
        <w:spacing w:after="0" w:line="360" w:lineRule="auto"/>
        <w:ind w:firstLine="538"/>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2、估价报告应用的有效期：自本报告完成之日起一年内有效，即</w:t>
      </w:r>
      <w:r>
        <w:rPr>
          <w:rFonts w:hint="default" w:ascii="Times New Roman" w:hAnsi="Times New Roman" w:eastAsia="宋体" w:cs="Times New Roman"/>
          <w:sz w:val="24"/>
          <w:szCs w:val="24"/>
          <w:lang w:eastAsia="zh-CN"/>
        </w:rPr>
        <w:t>自</w:t>
      </w:r>
      <w:r>
        <w:rPr>
          <w:rFonts w:hint="eastAsia" w:ascii="Times New Roman" w:hAnsi="Times New Roman" w:cs="Times New Roman"/>
          <w:sz w:val="24"/>
          <w:szCs w:val="24"/>
          <w:lang w:eastAsia="zh-CN"/>
        </w:rPr>
        <w:t>2022年10月13日</w:t>
      </w:r>
      <w:r>
        <w:rPr>
          <w:rFonts w:hint="default" w:ascii="Times New Roman" w:hAnsi="Times New Roman" w:cs="Times New Roman"/>
          <w:sz w:val="24"/>
          <w:szCs w:val="24"/>
          <w:lang w:eastAsia="zh-CN"/>
        </w:rPr>
        <w:t>起至</w:t>
      </w:r>
      <w:r>
        <w:rPr>
          <w:rFonts w:hint="eastAsia" w:ascii="Times New Roman" w:hAnsi="Times New Roman" w:cs="Times New Roman"/>
          <w:sz w:val="24"/>
          <w:szCs w:val="24"/>
          <w:lang w:eastAsia="zh-CN"/>
        </w:rPr>
        <w:t>2023年10月12日</w:t>
      </w:r>
      <w:r>
        <w:rPr>
          <w:rFonts w:hint="default" w:ascii="Times New Roman" w:hAnsi="Times New Roman" w:eastAsia="宋体" w:cs="Times New Roman"/>
          <w:sz w:val="24"/>
          <w:szCs w:val="24"/>
        </w:rPr>
        <w:t>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3、如对本报告有异议，请在收到报告之日起七日内致函本公司。</w:t>
      </w:r>
    </w:p>
    <w:p>
      <w:pPr>
        <w:spacing w:after="0" w:line="480" w:lineRule="exact"/>
        <w:ind w:firstLine="480" w:firstLineChars="200"/>
        <w:rPr>
          <w:rFonts w:hint="default" w:ascii="Times New Roman" w:hAnsi="Times New Roman" w:eastAsia="宋体" w:cs="Times New Roman"/>
          <w:sz w:val="24"/>
          <w:szCs w:val="24"/>
        </w:rPr>
      </w:pPr>
    </w:p>
    <w:p>
      <w:pPr>
        <w:spacing w:after="0" w:line="480" w:lineRule="exact"/>
        <w:ind w:firstLine="480" w:firstLineChars="200"/>
        <w:rPr>
          <w:rFonts w:hint="default" w:ascii="Times New Roman" w:hAnsi="Times New Roman" w:eastAsia="宋体" w:cs="Times New Roman"/>
          <w:sz w:val="24"/>
          <w:szCs w:val="24"/>
        </w:rPr>
      </w:pPr>
    </w:p>
    <w:p>
      <w:pPr>
        <w:spacing w:after="0" w:line="480" w:lineRule="exact"/>
        <w:ind w:firstLine="560" w:firstLineChars="200"/>
        <w:rPr>
          <w:rFonts w:hint="default" w:ascii="Times New Roman" w:hAnsi="Times New Roman" w:eastAsia="宋体" w:cs="Times New Roman"/>
          <w:sz w:val="28"/>
          <w:szCs w:val="28"/>
        </w:rPr>
      </w:pPr>
    </w:p>
    <w:p>
      <w:pPr>
        <w:spacing w:after="0" w:line="480" w:lineRule="exact"/>
        <w:ind w:right="395" w:firstLine="3720" w:firstLineChars="1550"/>
        <w:rPr>
          <w:rFonts w:hint="default" w:ascii="Times New Roman" w:hAnsi="Times New Roman" w:eastAsia="宋体" w:cs="Times New Roman"/>
          <w:sz w:val="24"/>
          <w:szCs w:val="24"/>
        </w:rPr>
      </w:pPr>
    </w:p>
    <w:p>
      <w:pPr>
        <w:spacing w:after="0" w:line="480" w:lineRule="exact"/>
        <w:ind w:right="395" w:firstLine="4200" w:firstLineChars="17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山东舜华房地产评估造价咨询有限公司</w:t>
      </w:r>
    </w:p>
    <w:p>
      <w:pPr>
        <w:spacing w:after="0" w:line="480" w:lineRule="exact"/>
        <w:ind w:right="3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法定代表人：</w:t>
      </w:r>
      <w:r>
        <w:rPr>
          <w:rFonts w:hint="default" w:ascii="Times New Roman" w:hAnsi="Times New Roman" w:eastAsia="宋体" w:cs="Times New Roman"/>
          <w:sz w:val="24"/>
          <w:szCs w:val="24"/>
          <w:lang w:eastAsia="zh-CN"/>
        </w:rPr>
        <w:t>展焕强</w:t>
      </w:r>
      <w:r>
        <w:rPr>
          <w:rFonts w:hint="default" w:ascii="Times New Roman" w:hAnsi="Times New Roman" w:eastAsia="宋体"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520" w:lineRule="exact"/>
        <w:ind w:firstLine="480" w:firstLineChars="200"/>
        <w:textAlignment w:val="auto"/>
        <w:rPr>
          <w:rFonts w:hint="default" w:ascii="Times New Roman" w:hAnsi="Times New Roman" w:cs="Times New Roman"/>
          <w:b/>
          <w:bCs/>
          <w:sz w:val="24"/>
          <w:szCs w:val="24"/>
          <w:lang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二○二二年十月十三</w:t>
      </w:r>
      <w:r>
        <w:rPr>
          <w:rFonts w:hint="default" w:ascii="Times New Roman" w:hAnsi="Times New Roman" w:cs="Times New Roman"/>
          <w:sz w:val="24"/>
          <w:szCs w:val="24"/>
          <w:lang w:eastAsia="zh-CN"/>
        </w:rPr>
        <w:t>日</w:t>
      </w:r>
      <w:r>
        <w:rPr>
          <w:rFonts w:hint="default" w:ascii="Times New Roman" w:hAnsi="Times New Roman" w:eastAsia="宋体"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520" w:lineRule="exact"/>
        <w:ind w:firstLine="482" w:firstLineChars="200"/>
        <w:textAlignment w:val="auto"/>
        <w:rPr>
          <w:rFonts w:hint="default" w:ascii="Times New Roman" w:hAnsi="Times New Roman" w:cs="Times New Roman"/>
          <w:b/>
          <w:bCs/>
          <w:sz w:val="24"/>
          <w:szCs w:val="24"/>
          <w:lang w:eastAsia="zh-CN"/>
        </w:rPr>
        <w:sectPr>
          <w:headerReference r:id="rId7" w:type="default"/>
          <w:footerReference r:id="rId8" w:type="default"/>
          <w:pgSz w:w="11906" w:h="16838"/>
          <w:pgMar w:top="1191" w:right="1304" w:bottom="1134" w:left="1361" w:header="851" w:footer="850" w:gutter="0"/>
          <w:pgBorders>
            <w:top w:val="none" w:sz="0" w:space="0"/>
            <w:left w:val="none" w:sz="0" w:space="0"/>
            <w:bottom w:val="none" w:sz="0" w:space="0"/>
            <w:right w:val="none" w:sz="0" w:space="0"/>
          </w:pgBorders>
          <w:cols w:space="0" w:num="1"/>
          <w:rtlGutter w:val="0"/>
          <w:docGrid w:type="lines" w:linePitch="289" w:charSpace="0"/>
        </w:sectPr>
      </w:pP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估价结果一览表</w:t>
      </w:r>
    </w:p>
    <w:tbl>
      <w:tblPr>
        <w:tblStyle w:val="36"/>
        <w:tblW w:w="4990"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Layout w:type="fixed"/>
        <w:tblCellMar>
          <w:top w:w="0" w:type="dxa"/>
          <w:left w:w="108" w:type="dxa"/>
          <w:bottom w:w="0" w:type="dxa"/>
          <w:right w:w="108" w:type="dxa"/>
        </w:tblCellMar>
      </w:tblPr>
      <w:tblGrid>
        <w:gridCol w:w="627"/>
        <w:gridCol w:w="1192"/>
        <w:gridCol w:w="648"/>
        <w:gridCol w:w="1759"/>
        <w:gridCol w:w="1574"/>
        <w:gridCol w:w="2162"/>
        <w:gridCol w:w="1118"/>
        <w:gridCol w:w="1401"/>
        <w:gridCol w:w="1574"/>
        <w:gridCol w:w="1260"/>
        <w:gridCol w:w="1385"/>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646" w:hRule="exact"/>
        </w:trPr>
        <w:tc>
          <w:tcPr>
            <w:tcW w:w="21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序号</w:t>
            </w:r>
          </w:p>
        </w:tc>
        <w:tc>
          <w:tcPr>
            <w:tcW w:w="40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借款人</w:t>
            </w:r>
          </w:p>
        </w:tc>
        <w:tc>
          <w:tcPr>
            <w:tcW w:w="22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资产</w:t>
            </w:r>
          </w:p>
        </w:tc>
        <w:tc>
          <w:tcPr>
            <w:tcW w:w="59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产权证书</w:t>
            </w:r>
          </w:p>
        </w:tc>
        <w:tc>
          <w:tcPr>
            <w:tcW w:w="5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产权人</w:t>
            </w:r>
          </w:p>
        </w:tc>
        <w:tc>
          <w:tcPr>
            <w:tcW w:w="7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坐落</w:t>
            </w:r>
          </w:p>
        </w:tc>
        <w:tc>
          <w:tcPr>
            <w:tcW w:w="38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数量（㎡）</w:t>
            </w:r>
          </w:p>
        </w:tc>
        <w:tc>
          <w:tcPr>
            <w:tcW w:w="47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评估单价（元）</w:t>
            </w:r>
          </w:p>
        </w:tc>
        <w:tc>
          <w:tcPr>
            <w:tcW w:w="5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市场价值（元）</w:t>
            </w:r>
          </w:p>
        </w:tc>
        <w:tc>
          <w:tcPr>
            <w:tcW w:w="42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变现率（%）</w:t>
            </w:r>
          </w:p>
        </w:tc>
        <w:tc>
          <w:tcPr>
            <w:tcW w:w="4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变现价值（元）</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646" w:hRule="exact"/>
        </w:trPr>
        <w:tc>
          <w:tcPr>
            <w:tcW w:w="213" w:type="pct"/>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w:t>
            </w:r>
          </w:p>
        </w:tc>
        <w:tc>
          <w:tcPr>
            <w:tcW w:w="405" w:type="pct"/>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烟台市永旺钢材城有限责任公司</w:t>
            </w:r>
          </w:p>
        </w:tc>
        <w:tc>
          <w:tcPr>
            <w:tcW w:w="22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房产</w:t>
            </w:r>
          </w:p>
        </w:tc>
        <w:tc>
          <w:tcPr>
            <w:tcW w:w="59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海房权证东村字第023159号</w:t>
            </w:r>
          </w:p>
        </w:tc>
        <w:tc>
          <w:tcPr>
            <w:tcW w:w="535" w:type="pct"/>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海阳市樱坤物资贸易有限公司</w:t>
            </w:r>
          </w:p>
        </w:tc>
        <w:tc>
          <w:tcPr>
            <w:tcW w:w="7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海阳市东村工业园区</w:t>
            </w:r>
          </w:p>
        </w:tc>
        <w:tc>
          <w:tcPr>
            <w:tcW w:w="38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2,584.85 </w:t>
            </w:r>
          </w:p>
        </w:tc>
        <w:tc>
          <w:tcPr>
            <w:tcW w:w="47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746.78 </w:t>
            </w:r>
          </w:p>
        </w:tc>
        <w:tc>
          <w:tcPr>
            <w:tcW w:w="5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1,930,318.00 </w:t>
            </w:r>
          </w:p>
        </w:tc>
        <w:tc>
          <w:tcPr>
            <w:tcW w:w="42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70</w:t>
            </w:r>
          </w:p>
        </w:tc>
        <w:tc>
          <w:tcPr>
            <w:tcW w:w="4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1,351,223.00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646" w:hRule="exact"/>
        </w:trPr>
        <w:tc>
          <w:tcPr>
            <w:tcW w:w="213" w:type="pct"/>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405" w:type="pct"/>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土地</w:t>
            </w:r>
          </w:p>
        </w:tc>
        <w:tc>
          <w:tcPr>
            <w:tcW w:w="59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海国用（2008）第003号</w:t>
            </w:r>
          </w:p>
        </w:tc>
        <w:tc>
          <w:tcPr>
            <w:tcW w:w="535" w:type="pct"/>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7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海阳市东村工业组团</w:t>
            </w:r>
          </w:p>
        </w:tc>
        <w:tc>
          <w:tcPr>
            <w:tcW w:w="38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9,396.08 </w:t>
            </w:r>
          </w:p>
        </w:tc>
        <w:tc>
          <w:tcPr>
            <w:tcW w:w="47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221.00 </w:t>
            </w:r>
          </w:p>
        </w:tc>
        <w:tc>
          <w:tcPr>
            <w:tcW w:w="5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2,076,534.00 </w:t>
            </w:r>
          </w:p>
        </w:tc>
        <w:tc>
          <w:tcPr>
            <w:tcW w:w="42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70</w:t>
            </w:r>
          </w:p>
        </w:tc>
        <w:tc>
          <w:tcPr>
            <w:tcW w:w="4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1,453,574.00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646" w:hRule="exact"/>
        </w:trPr>
        <w:tc>
          <w:tcPr>
            <w:tcW w:w="618" w:type="pct"/>
            <w:gridSpan w:val="2"/>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合计</w:t>
            </w:r>
          </w:p>
        </w:tc>
        <w:tc>
          <w:tcPr>
            <w:tcW w:w="22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59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5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7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38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 </w:t>
            </w:r>
          </w:p>
        </w:tc>
        <w:tc>
          <w:tcPr>
            <w:tcW w:w="47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53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4,006,343.00</w:t>
            </w: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 </w:t>
            </w:r>
          </w:p>
        </w:tc>
        <w:tc>
          <w:tcPr>
            <w:tcW w:w="42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4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2,804,440.00</w:t>
            </w: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 </w:t>
            </w:r>
          </w:p>
        </w:tc>
      </w:tr>
    </w:tbl>
    <w:p>
      <w:pPr>
        <w:spacing w:after="0" w:line="560" w:lineRule="exact"/>
        <w:ind w:firstLine="539"/>
        <w:jc w:val="both"/>
        <w:rPr>
          <w:rFonts w:hint="default" w:ascii="Times New Roman" w:hAnsi="Times New Roman" w:eastAsia="宋体" w:cs="Times New Roman"/>
          <w:b/>
          <w:bCs/>
          <w:sz w:val="24"/>
          <w:szCs w:val="24"/>
          <w:lang w:val="en-US" w:eastAsia="zh-CN"/>
        </w:rPr>
      </w:pPr>
    </w:p>
    <w:p>
      <w:pPr>
        <w:spacing w:after="0" w:line="560" w:lineRule="exact"/>
        <w:ind w:firstLine="539"/>
        <w:jc w:val="center"/>
        <w:rPr>
          <w:rFonts w:hint="default" w:ascii="Times New Roman" w:hAnsi="Times New Roman" w:eastAsia="宋体" w:cs="Times New Roman"/>
          <w:b/>
          <w:bCs/>
          <w:sz w:val="24"/>
          <w:szCs w:val="24"/>
          <w:lang w:val="en-US" w:eastAsia="zh-CN"/>
        </w:rPr>
        <w:sectPr>
          <w:pgSz w:w="16838" w:h="11906" w:orient="landscape"/>
          <w:pgMar w:top="1361" w:right="1191" w:bottom="1304" w:left="1134" w:header="851" w:footer="850" w:gutter="0"/>
          <w:pgBorders>
            <w:top w:val="none" w:sz="0" w:space="0"/>
            <w:left w:val="none" w:sz="0" w:space="0"/>
            <w:bottom w:val="none" w:sz="0" w:space="0"/>
            <w:right w:val="none" w:sz="0" w:space="0"/>
          </w:pgBorders>
          <w:cols w:space="0" w:num="1"/>
          <w:rtlGutter w:val="0"/>
          <w:docGrid w:type="lines" w:linePitch="289" w:charSpace="0"/>
        </w:sectPr>
      </w:pPr>
    </w:p>
    <w:p>
      <w:pPr>
        <w:spacing w:line="48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目    录</w:t>
      </w:r>
    </w:p>
    <w:p>
      <w:pPr>
        <w:pStyle w:val="2"/>
        <w:keepNext w:val="0"/>
        <w:keepLines w:val="0"/>
        <w:pageBreakBefore w:val="0"/>
        <w:widowControl/>
        <w:tabs>
          <w:tab w:val="right" w:leader="dot" w:pos="8900"/>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rPr>
      </w:pPr>
      <w:r>
        <w:rPr>
          <w:rStyle w:val="45"/>
          <w:rFonts w:hint="default" w:ascii="Times New Roman" w:hAnsi="Times New Roman" w:eastAsia="宋体" w:cs="Times New Roman"/>
          <w:sz w:val="24"/>
        </w:rPr>
        <w:fldChar w:fldCharType="begin"/>
      </w:r>
      <w:r>
        <w:rPr>
          <w:rStyle w:val="45"/>
          <w:rFonts w:hint="default" w:ascii="Times New Roman" w:hAnsi="Times New Roman" w:eastAsia="宋体" w:cs="Times New Roman"/>
          <w:sz w:val="24"/>
          <w:szCs w:val="24"/>
        </w:rPr>
        <w:instrText xml:space="preserve">TOC \o "1-2" \h \z \u</w:instrText>
      </w:r>
      <w:r>
        <w:rPr>
          <w:rStyle w:val="45"/>
          <w:rFonts w:hint="default" w:ascii="Times New Roman" w:hAnsi="Times New Roman" w:eastAsia="宋体" w:cs="Times New Roman"/>
          <w:sz w:val="24"/>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_Toc31874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rPr>
        <w:t>估价师声明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_Toc31874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_Toc13057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32"/>
        </w:rPr>
        <w:t>估价假设和限制条件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_Toc13057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_Toc1888 </w:instrText>
      </w:r>
      <w:r>
        <w:rPr>
          <w:rFonts w:hint="default" w:ascii="Times New Roman" w:hAnsi="Times New Roman" w:eastAsia="宋体" w:cs="Times New Roman"/>
          <w:bCs/>
          <w:caps/>
          <w:szCs w:val="24"/>
        </w:rPr>
        <w:fldChar w:fldCharType="separate"/>
      </w:r>
      <w:r>
        <w:rPr>
          <w:rFonts w:hint="default" w:ascii="Times New Roman" w:hAnsi="Times New Roman" w:cs="Times New Roman"/>
          <w:szCs w:val="32"/>
          <w:lang w:eastAsia="zh-CN"/>
        </w:rPr>
        <w:t>估价</w:t>
      </w:r>
      <w:r>
        <w:rPr>
          <w:rFonts w:hint="default" w:ascii="Times New Roman" w:hAnsi="Times New Roman" w:eastAsia="宋体" w:cs="Times New Roman"/>
          <w:szCs w:val="32"/>
        </w:rPr>
        <w:t>结果报告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_Toc1888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_Toc24860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一、估价委托人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_Toc24860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_Toc21516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二、房地产估价机构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_Toc21516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_Toc11457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三、估价对象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_Toc11457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_Toc14405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四、估价目的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_Toc14405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_Toc5699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六、价值类型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_Toc5699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_Toc30296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七、估价依据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_Toc30296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_Toc13534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八、估价原则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_Toc13534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_Toc12292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九、估价方法与估价思路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_Toc12292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_Toc27609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十、估价结果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_Toc27609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_Toc5195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十一、注册房地产估价师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_Toc5195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ind w:left="221"/>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_Toc5894 </w:instrText>
      </w:r>
      <w:r>
        <w:rPr>
          <w:rFonts w:hint="default" w:ascii="Times New Roman" w:hAnsi="Times New Roman" w:cs="Times New Roman"/>
        </w:rPr>
        <w:fldChar w:fldCharType="separate"/>
      </w:r>
      <w:r>
        <w:rPr>
          <w:rFonts w:hint="default" w:ascii="Times New Roman" w:hAnsi="Times New Roman" w:cs="Times New Roman"/>
        </w:rPr>
        <w:t>十二、 估价作业期</w:t>
      </w:r>
      <w:r>
        <w:rPr>
          <w:rFonts w:hint="default" w:ascii="Times New Roman" w:hAnsi="Times New Roman" w:cs="Times New Roman"/>
        </w:rPr>
        <w:tab/>
      </w:r>
      <w:r>
        <w:rPr>
          <w:rFonts w:hint="default" w:ascii="Times New Roman" w:hAnsi="Times New Roman" w:cs="Times New Roman"/>
          <w:lang w:val="en-US" w:eastAsia="zh-CN"/>
        </w:rPr>
        <w:t>9</w:t>
      </w:r>
      <w:r>
        <w:rPr>
          <w:rFonts w:hint="default" w:ascii="Times New Roman" w:hAnsi="Times New Roman" w:cs="Times New Roman"/>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ind w:left="221"/>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_Toc22692 </w:instrText>
      </w:r>
      <w:r>
        <w:rPr>
          <w:rFonts w:hint="default" w:ascii="Times New Roman" w:hAnsi="Times New Roman" w:cs="Times New Roman"/>
        </w:rPr>
        <w:fldChar w:fldCharType="separate"/>
      </w:r>
      <w:r>
        <w:rPr>
          <w:rFonts w:hint="default" w:ascii="Times New Roman" w:hAnsi="Times New Roman" w:cs="Times New Roman"/>
        </w:rPr>
        <w:t>十三、估价报告应用的有效期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_Toc22692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_Toc26526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32"/>
        </w:rPr>
        <w:t>变现能力分析及潜在风险披露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_Toc26526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_Toc19757 </w:instrText>
      </w:r>
      <w:r>
        <w:rPr>
          <w:rFonts w:hint="default" w:ascii="Times New Roman" w:hAnsi="Times New Roman" w:eastAsia="宋体" w:cs="Times New Roman"/>
          <w:bCs/>
          <w:caps/>
          <w:szCs w:val="24"/>
        </w:rPr>
        <w:fldChar w:fldCharType="separate"/>
      </w:r>
      <w:r>
        <w:rPr>
          <w:rFonts w:hint="default" w:ascii="Times New Roman" w:hAnsi="Times New Roman" w:cs="Times New Roman"/>
          <w:szCs w:val="32"/>
          <w:lang w:eastAsia="zh-CN"/>
        </w:rPr>
        <w:t>估价</w:t>
      </w:r>
      <w:r>
        <w:rPr>
          <w:rFonts w:hint="default" w:ascii="Times New Roman" w:hAnsi="Times New Roman" w:eastAsia="宋体" w:cs="Times New Roman"/>
          <w:szCs w:val="32"/>
        </w:rPr>
        <w:t>技术报告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_Toc19757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_Toc15193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一、估价对象描述与分析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_Toc15193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_Toc32446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lang w:val="en-US" w:eastAsia="zh-CN"/>
        </w:rPr>
        <w:t>二、市场背景描述与分析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_Toc32446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_Toc2948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lang w:val="en-US" w:eastAsia="zh-CN"/>
        </w:rPr>
        <w:t>三、最高最佳利用分析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_Toc2948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_Toc7741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rPr>
        <w:t>四、估价方法适用性分析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_Toc7741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_Toc16672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highlight w:val="none"/>
        </w:rPr>
        <w:t>五、估价测算过程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_Toc16672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keepNext w:val="0"/>
        <w:keepLines w:val="0"/>
        <w:pageBreakBefore w:val="0"/>
        <w:widowControl/>
        <w:tabs>
          <w:tab w:val="right" w:leader="dot" w:pos="890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_Toc21870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szCs w:val="24"/>
          <w:highlight w:val="none"/>
          <w:lang w:val="en-US" w:eastAsia="zh-CN"/>
        </w:rPr>
        <w:t>六、估价结果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_Toc21870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rPr>
      </w:pPr>
      <w:r>
        <w:rPr>
          <w:rFonts w:hint="default" w:ascii="Times New Roman" w:hAnsi="Times New Roman" w:eastAsia="宋体" w:cs="Times New Roman"/>
          <w:bCs/>
          <w:caps/>
          <w:szCs w:val="24"/>
        </w:rPr>
        <w:fldChar w:fldCharType="begin"/>
      </w:r>
      <w:r>
        <w:rPr>
          <w:rFonts w:hint="default" w:ascii="Times New Roman" w:hAnsi="Times New Roman" w:eastAsia="宋体" w:cs="Times New Roman"/>
          <w:bCs/>
          <w:caps/>
          <w:szCs w:val="24"/>
        </w:rPr>
        <w:instrText xml:space="preserve"> HYPERLINK \l _Toc12001 </w:instrText>
      </w:r>
      <w:r>
        <w:rPr>
          <w:rFonts w:hint="default" w:ascii="Times New Roman" w:hAnsi="Times New Roman" w:eastAsia="宋体" w:cs="Times New Roman"/>
          <w:bCs/>
          <w:caps/>
          <w:szCs w:val="24"/>
        </w:rPr>
        <w:fldChar w:fldCharType="separate"/>
      </w:r>
      <w:r>
        <w:rPr>
          <w:rFonts w:hint="default" w:ascii="Times New Roman" w:hAnsi="Times New Roman" w:eastAsia="宋体" w:cs="Times New Roman"/>
          <w:bCs/>
          <w:szCs w:val="32"/>
        </w:rPr>
        <w:t>附</w:t>
      </w:r>
      <w:r>
        <w:rPr>
          <w:rFonts w:hint="default" w:ascii="Times New Roman" w:hAnsi="Times New Roman" w:eastAsia="宋体" w:cs="Times New Roman"/>
          <w:bCs/>
          <w:szCs w:val="32"/>
          <w:lang w:val="en-US" w:eastAsia="zh-CN"/>
        </w:rPr>
        <w:t xml:space="preserve"> </w:t>
      </w:r>
      <w:r>
        <w:rPr>
          <w:rFonts w:hint="default" w:ascii="Times New Roman" w:hAnsi="Times New Roman" w:eastAsia="宋体" w:cs="Times New Roman"/>
          <w:bCs/>
          <w:szCs w:val="32"/>
        </w:rPr>
        <w:t>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_Toc12001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eastAsia="宋体" w:cs="Times New Roman"/>
          <w:bCs/>
          <w:caps/>
          <w:szCs w:val="24"/>
        </w:rPr>
        <w:fldChar w:fldCharType="end"/>
      </w:r>
    </w:p>
    <w:p>
      <w:pPr>
        <w:pStyle w:val="31"/>
        <w:tabs>
          <w:tab w:val="right" w:leader="dot" w:pos="8900"/>
        </w:tabs>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Cs/>
          <w:caps/>
          <w:szCs w:val="24"/>
        </w:rPr>
      </w:pPr>
      <w:r>
        <w:rPr>
          <w:rFonts w:hint="default" w:ascii="Times New Roman" w:hAnsi="Times New Roman" w:eastAsia="宋体" w:cs="Times New Roman"/>
          <w:bCs/>
          <w:caps/>
          <w:szCs w:val="24"/>
        </w:rPr>
        <w:fldChar w:fldCharType="end"/>
      </w:r>
    </w:p>
    <w:p>
      <w:pPr>
        <w:spacing w:line="500" w:lineRule="exact"/>
        <w:jc w:val="center"/>
        <w:rPr>
          <w:rFonts w:hint="default" w:ascii="Times New Roman" w:hAnsi="Times New Roman" w:eastAsia="宋体" w:cs="Times New Roman"/>
          <w:sz w:val="36"/>
          <w:szCs w:val="36"/>
        </w:rPr>
        <w:sectPr>
          <w:headerReference r:id="rId9" w:type="default"/>
          <w:footerReference r:id="rId10" w:type="default"/>
          <w:pgSz w:w="11906" w:h="16838"/>
          <w:pgMar w:top="1191" w:right="1304" w:bottom="1134" w:left="1361" w:header="851" w:footer="850" w:gutter="0"/>
          <w:pgBorders>
            <w:top w:val="none" w:sz="0" w:space="0"/>
            <w:left w:val="none" w:sz="0" w:space="0"/>
            <w:bottom w:val="none" w:sz="0" w:space="0"/>
            <w:right w:val="none" w:sz="0" w:space="0"/>
          </w:pgBorders>
          <w:cols w:space="0" w:num="1"/>
          <w:rtlGutter w:val="0"/>
          <w:docGrid w:type="lines" w:linePitch="289"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b/>
          <w:sz w:val="32"/>
          <w:szCs w:val="32"/>
        </w:rPr>
      </w:pPr>
      <w:bookmarkStart w:id="0" w:name="_Toc31874"/>
      <w:r>
        <w:rPr>
          <w:rFonts w:hint="default" w:ascii="Times New Roman" w:hAnsi="Times New Roman" w:eastAsia="宋体" w:cs="Times New Roman"/>
          <w:b/>
          <w:sz w:val="32"/>
          <w:szCs w:val="32"/>
        </w:rPr>
        <w:t>估价师声明</w:t>
      </w:r>
      <w:bookmarkEnd w:id="0"/>
    </w:p>
    <w:p>
      <w:pPr>
        <w:spacing w:after="0" w:line="500" w:lineRule="exac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我们郑重声明：</w:t>
      </w:r>
    </w:p>
    <w:p>
      <w:pPr>
        <w:pStyle w:val="16"/>
        <w:spacing w:after="0" w:line="5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1、注册房地产估价师在</w:t>
      </w:r>
      <w:r>
        <w:rPr>
          <w:rFonts w:hint="default" w:ascii="Times New Roman" w:hAnsi="Times New Roman" w:eastAsia="宋体" w:cs="Times New Roman"/>
          <w:sz w:val="24"/>
          <w:szCs w:val="24"/>
          <w:lang w:eastAsia="zh-CN"/>
        </w:rPr>
        <w:t>估价</w:t>
      </w:r>
      <w:r>
        <w:rPr>
          <w:rFonts w:hint="default" w:ascii="Times New Roman" w:hAnsi="Times New Roman" w:eastAsia="宋体" w:cs="Times New Roman"/>
          <w:sz w:val="24"/>
          <w:szCs w:val="24"/>
        </w:rPr>
        <w:t>报告中对事实的说明是真实和准确的，没有虚假记载、误导性陈述和重大遗漏。</w:t>
      </w:r>
    </w:p>
    <w:p>
      <w:pPr>
        <w:pStyle w:val="16"/>
        <w:spacing w:after="0" w:line="5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CN"/>
        </w:rPr>
        <w:t>估价</w:t>
      </w:r>
      <w:r>
        <w:rPr>
          <w:rFonts w:hint="default" w:ascii="Times New Roman" w:hAnsi="Times New Roman" w:eastAsia="宋体" w:cs="Times New Roman"/>
          <w:sz w:val="24"/>
          <w:szCs w:val="24"/>
        </w:rPr>
        <w:t>报告的分析、意见和结论是注册房地产估价师独立、客观、公正的专业分析、意见和结论，但受到本报告中已说明的假设和限制条件的限制。</w:t>
      </w:r>
    </w:p>
    <w:p>
      <w:pPr>
        <w:pStyle w:val="16"/>
        <w:spacing w:after="0" w:line="5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3、注册房地产估价师与</w:t>
      </w:r>
      <w:r>
        <w:rPr>
          <w:rFonts w:hint="default" w:ascii="Times New Roman" w:hAnsi="Times New Roman" w:eastAsia="宋体" w:cs="Times New Roman"/>
          <w:sz w:val="24"/>
          <w:szCs w:val="24"/>
          <w:lang w:eastAsia="zh-CN"/>
        </w:rPr>
        <w:t>估价</w:t>
      </w:r>
      <w:r>
        <w:rPr>
          <w:rFonts w:hint="default" w:ascii="Times New Roman" w:hAnsi="Times New Roman" w:eastAsia="宋体" w:cs="Times New Roman"/>
          <w:sz w:val="24"/>
          <w:szCs w:val="24"/>
        </w:rPr>
        <w:t>报告中的估价对象没有现实或潜在的利益，与估价委托人及估价利害关系人没有利害关系，也对估价对象、估价委托人及估价利害关系人没有偏见。</w:t>
      </w:r>
    </w:p>
    <w:p>
      <w:pPr>
        <w:pStyle w:val="16"/>
        <w:spacing w:after="0" w:line="5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4、注册房地产估价师是按照有关房地产估价标准的规定进行估价工作，撰写</w:t>
      </w:r>
      <w:r>
        <w:rPr>
          <w:rFonts w:hint="default" w:ascii="Times New Roman" w:hAnsi="Times New Roman" w:eastAsia="宋体" w:cs="Times New Roman"/>
          <w:sz w:val="24"/>
          <w:szCs w:val="24"/>
          <w:lang w:eastAsia="zh-CN"/>
        </w:rPr>
        <w:t>估价</w:t>
      </w:r>
      <w:r>
        <w:rPr>
          <w:rFonts w:hint="default" w:ascii="Times New Roman" w:hAnsi="Times New Roman" w:eastAsia="宋体" w:cs="Times New Roman"/>
          <w:sz w:val="24"/>
          <w:szCs w:val="24"/>
        </w:rPr>
        <w:t>报告。</w:t>
      </w:r>
    </w:p>
    <w:p>
      <w:pPr>
        <w:spacing w:after="0"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5、我们已对本</w:t>
      </w:r>
      <w:r>
        <w:rPr>
          <w:rFonts w:hint="default" w:ascii="Times New Roman" w:hAnsi="Times New Roman" w:cs="Times New Roman"/>
          <w:sz w:val="24"/>
          <w:szCs w:val="24"/>
          <w:lang w:eastAsia="zh-CN"/>
        </w:rPr>
        <w:t>估价</w:t>
      </w:r>
      <w:r>
        <w:rPr>
          <w:rFonts w:hint="default" w:ascii="Times New Roman" w:hAnsi="Times New Roman" w:eastAsia="宋体" w:cs="Times New Roman"/>
          <w:sz w:val="24"/>
          <w:szCs w:val="24"/>
        </w:rPr>
        <w:t>报告中的估价对象进行了实地查勘，并对查勘的客观性、真实性、公正性承担责任，但我们对估价对象的实地查勘仅限于其外观和区位状况，对被遮盖，未暴露及难以接触到的部分，依据估价委托人提供的资料进行评估。</w:t>
      </w:r>
    </w:p>
    <w:p>
      <w:pPr>
        <w:spacing w:after="0"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default" w:ascii="Times New Roman" w:hAnsi="Times New Roman" w:cs="Times New Roman"/>
          <w:sz w:val="24"/>
          <w:szCs w:val="24"/>
          <w:lang w:eastAsia="zh-CN"/>
        </w:rPr>
        <w:t>估价</w:t>
      </w:r>
      <w:r>
        <w:rPr>
          <w:rFonts w:hint="default" w:ascii="Times New Roman" w:hAnsi="Times New Roman" w:eastAsia="宋体" w:cs="Times New Roman"/>
          <w:sz w:val="24"/>
          <w:szCs w:val="24"/>
        </w:rPr>
        <w:t>报告依据了估价委托人提供的相关资料，估价委托人对资料的真实性负责。因资料失实造成估价结果有误的，房地产估价机构和注册房地产估价师不承担相应的责任。</w:t>
      </w:r>
    </w:p>
    <w:p>
      <w:pPr>
        <w:spacing w:after="0"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7、没有人对本估价报告提供重要专业帮助。</w:t>
      </w:r>
    </w:p>
    <w:p>
      <w:pPr>
        <w:spacing w:after="0"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8、本报告的全部及其部分内容不得发表于任何公开媒体上，报告解释权为本评估机构所有。</w:t>
      </w:r>
    </w:p>
    <w:p>
      <w:pPr>
        <w:spacing w:after="0"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9、本估价报告需经估价机构加盖公章并由估价师签字盖章后方可使用，本报告各项附件与报告书为一整体，不可分割。</w:t>
      </w:r>
    </w:p>
    <w:p>
      <w:pPr>
        <w:spacing w:after="0" w:line="520" w:lineRule="exact"/>
        <w:ind w:firstLine="480" w:firstLineChars="200"/>
        <w:rPr>
          <w:rFonts w:hint="default" w:ascii="Times New Roman" w:hAnsi="Times New Roman" w:eastAsia="宋体" w:cs="Times New Roman"/>
          <w:sz w:val="24"/>
          <w:szCs w:val="24"/>
        </w:rPr>
      </w:pPr>
    </w:p>
    <w:p>
      <w:pPr>
        <w:spacing w:after="0" w:line="520" w:lineRule="exact"/>
        <w:ind w:firstLine="480" w:firstLineChars="200"/>
        <w:rPr>
          <w:rFonts w:hint="default" w:ascii="Times New Roman" w:hAnsi="Times New Roman" w:eastAsia="宋体" w:cs="Times New Roman"/>
          <w:sz w:val="24"/>
          <w:szCs w:val="24"/>
        </w:rPr>
      </w:pPr>
    </w:p>
    <w:p>
      <w:pPr>
        <w:spacing w:after="0" w:line="520" w:lineRule="exact"/>
        <w:ind w:firstLine="480" w:firstLineChars="200"/>
        <w:rPr>
          <w:rFonts w:hint="default" w:ascii="Times New Roman" w:hAnsi="Times New Roman" w:eastAsia="宋体" w:cs="Times New Roman"/>
          <w:sz w:val="24"/>
          <w:szCs w:val="24"/>
        </w:rPr>
      </w:pPr>
    </w:p>
    <w:p>
      <w:pPr>
        <w:spacing w:after="0" w:line="520" w:lineRule="exact"/>
        <w:ind w:firstLine="480" w:firstLineChars="200"/>
        <w:rPr>
          <w:rFonts w:hint="default" w:ascii="Times New Roman" w:hAnsi="Times New Roman" w:eastAsia="宋体" w:cs="Times New Roman"/>
          <w:sz w:val="24"/>
          <w:szCs w:val="24"/>
        </w:rPr>
      </w:pPr>
    </w:p>
    <w:p>
      <w:pPr>
        <w:spacing w:after="0" w:line="520" w:lineRule="exact"/>
        <w:ind w:firstLine="480" w:firstLineChars="200"/>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b/>
          <w:sz w:val="32"/>
          <w:szCs w:val="32"/>
        </w:rPr>
      </w:pPr>
      <w:bookmarkStart w:id="1" w:name="_Toc13057"/>
      <w:r>
        <w:rPr>
          <w:rFonts w:hint="default" w:ascii="Times New Roman" w:hAnsi="Times New Roman" w:eastAsia="宋体" w:cs="Times New Roman"/>
          <w:b/>
          <w:sz w:val="32"/>
          <w:szCs w:val="32"/>
        </w:rPr>
        <w:t>估价假设和限制条件</w:t>
      </w:r>
      <w:bookmarkEnd w:id="1"/>
    </w:p>
    <w:p>
      <w:pPr>
        <w:keepNext w:val="0"/>
        <w:keepLines w:val="0"/>
        <w:pageBreakBefore w:val="0"/>
        <w:widowControl/>
        <w:kinsoku/>
        <w:wordWrap/>
        <w:overflowPunct/>
        <w:topLinePunct w:val="0"/>
        <w:autoSpaceDE/>
        <w:autoSpaceDN/>
        <w:bidi w:val="0"/>
        <w:adjustRightInd/>
        <w:spacing w:after="0" w:line="52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一、一般假设</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提供的相关资料准确、合法、有效。</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2、假设估价对象均具有合法完整的产权。</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3、假设房地产市场供应关系、市场结构保持稳定、未发生重大变化或实质性改变。</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4、本次估价未对估价对象做建筑物基础及结构上的测量和实验，本次估价假设其无基础、结构等方面的重大质量问题。</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5、交易双方都具有完全的市场信息，对交易对象具有必要的专业知识，不考虑特殊买家的附加出价。</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6、本次评估假设估价对象房地产以规划部门确定的用途持续使用并已达到最高最佳利用。若转换使用用途，本估价结果无效。</w:t>
      </w:r>
    </w:p>
    <w:p>
      <w:pPr>
        <w:pStyle w:val="16"/>
        <w:keepNext w:val="0"/>
        <w:keepLines w:val="0"/>
        <w:pageBreakBefore w:val="0"/>
        <w:widowControl/>
        <w:kinsoku/>
        <w:wordWrap/>
        <w:overflowPunct/>
        <w:topLinePunct w:val="0"/>
        <w:autoSpaceDE/>
        <w:autoSpaceDN/>
        <w:bidi w:val="0"/>
        <w:adjustRightInd/>
        <w:spacing w:after="0" w:line="520" w:lineRule="exact"/>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二、未定事项假设</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1、估价时没有考虑未来国家宏观经济政策发生变化、市场供应关系变化、市场结构转变、遇有自然力和其他不可抗力等因素对市场价值的影响。</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2、估价对象应缴纳的各种税费以及土地出让金已按国家、省、市法律、法规、规章缴纳完毕，并取得相应的产权依据和其他法律保护依据。</w:t>
      </w:r>
    </w:p>
    <w:p>
      <w:pPr>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3、本报告中</w:t>
      </w:r>
      <w:r>
        <w:rPr>
          <w:rFonts w:hint="default" w:ascii="Times New Roman" w:hAnsi="Times New Roman" w:cs="Times New Roman"/>
          <w:sz w:val="24"/>
          <w:szCs w:val="24"/>
          <w:lang w:eastAsia="zh-CN"/>
        </w:rPr>
        <w:t>委托方</w:t>
      </w:r>
      <w:r>
        <w:rPr>
          <w:rFonts w:hint="default" w:ascii="Times New Roman" w:hAnsi="Times New Roman" w:eastAsia="宋体" w:cs="Times New Roman"/>
          <w:sz w:val="24"/>
          <w:szCs w:val="24"/>
        </w:rPr>
        <w:t>提供的估价对象的坐落、面积等是准确的。</w:t>
      </w:r>
    </w:p>
    <w:p>
      <w:pPr>
        <w:pStyle w:val="16"/>
        <w:keepNext w:val="0"/>
        <w:keepLines w:val="0"/>
        <w:pageBreakBefore w:val="0"/>
        <w:widowControl/>
        <w:kinsoku/>
        <w:wordWrap/>
        <w:overflowPunct/>
        <w:topLinePunct w:val="0"/>
        <w:autoSpaceDE/>
        <w:autoSpaceDN/>
        <w:bidi w:val="0"/>
        <w:adjustRightInd/>
        <w:spacing w:after="0" w:line="52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三、背离事实假设</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本次估价无背离事实假设。</w:t>
      </w:r>
    </w:p>
    <w:p>
      <w:pPr>
        <w:pStyle w:val="16"/>
        <w:keepNext w:val="0"/>
        <w:keepLines w:val="0"/>
        <w:pageBreakBefore w:val="0"/>
        <w:widowControl/>
        <w:kinsoku/>
        <w:wordWrap/>
        <w:overflowPunct/>
        <w:topLinePunct w:val="0"/>
        <w:autoSpaceDE/>
        <w:autoSpaceDN/>
        <w:bidi w:val="0"/>
        <w:adjustRightInd/>
        <w:spacing w:after="0" w:line="52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四、不相一致假设</w:t>
      </w:r>
    </w:p>
    <w:p>
      <w:pPr>
        <w:pStyle w:val="16"/>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本次估价无不相一致假设。</w:t>
      </w:r>
    </w:p>
    <w:p>
      <w:pPr>
        <w:pStyle w:val="16"/>
        <w:keepNext w:val="0"/>
        <w:keepLines w:val="0"/>
        <w:pageBreakBefore w:val="0"/>
        <w:widowControl/>
        <w:kinsoku/>
        <w:wordWrap/>
        <w:overflowPunct/>
        <w:topLinePunct w:val="0"/>
        <w:autoSpaceDE/>
        <w:autoSpaceDN/>
        <w:bidi w:val="0"/>
        <w:adjustRightInd/>
        <w:spacing w:after="0" w:line="52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五、依据不足假设</w:t>
      </w:r>
    </w:p>
    <w:p>
      <w:pPr>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cs="Times New Roman"/>
          <w:sz w:val="24"/>
          <w:szCs w:val="24"/>
          <w:lang w:eastAsia="zh-CN"/>
        </w:rPr>
      </w:pPr>
      <w:r>
        <w:rPr>
          <w:rFonts w:hint="default" w:ascii="Times New Roman" w:hAnsi="Times New Roman" w:eastAsia="宋体" w:cs="Times New Roman"/>
          <w:sz w:val="24"/>
          <w:szCs w:val="24"/>
        </w:rPr>
        <w:t>本次估价无依据不足假设</w:t>
      </w:r>
      <w:r>
        <w:rPr>
          <w:rFonts w:hint="default" w:ascii="Times New Roman" w:hAnsi="Times New Roman" w:cs="Times New Roman"/>
          <w:sz w:val="24"/>
          <w:szCs w:val="24"/>
          <w:lang w:eastAsia="zh-CN"/>
        </w:rPr>
        <w:t>。</w:t>
      </w:r>
    </w:p>
    <w:p>
      <w:pPr>
        <w:keepNext w:val="0"/>
        <w:keepLines w:val="0"/>
        <w:pageBreakBefore w:val="0"/>
        <w:widowControl/>
        <w:kinsoku/>
        <w:wordWrap/>
        <w:overflowPunct/>
        <w:topLinePunct w:val="0"/>
        <w:autoSpaceDE/>
        <w:autoSpaceDN/>
        <w:bidi w:val="0"/>
        <w:adjustRightInd/>
        <w:spacing w:after="0" w:line="52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六、本估价报告使用的限制条件</w:t>
      </w:r>
    </w:p>
    <w:p>
      <w:pPr>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w:t>
      </w:r>
      <w:r>
        <w:rPr>
          <w:rFonts w:hint="default" w:ascii="Times New Roman" w:hAnsi="Times New Roman" w:cs="Times New Roman"/>
          <w:sz w:val="24"/>
          <w:szCs w:val="24"/>
          <w:lang w:eastAsia="zh-CN"/>
        </w:rPr>
        <w:t>估价</w:t>
      </w:r>
      <w:r>
        <w:rPr>
          <w:rFonts w:hint="default" w:ascii="Times New Roman" w:hAnsi="Times New Roman" w:eastAsia="宋体" w:cs="Times New Roman"/>
          <w:sz w:val="24"/>
          <w:szCs w:val="24"/>
        </w:rPr>
        <w:t>报告按照既定目的提供给估价委托人使用，若改变估价目的及使用条件，需向本公司咨询后做必要修正甚至重新估价。</w:t>
      </w:r>
    </w:p>
    <w:p>
      <w:pPr>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2、本估价结果自报告出具之日起壹年内有效，即自</w:t>
      </w:r>
      <w:r>
        <w:rPr>
          <w:rFonts w:hint="eastAsia" w:ascii="Times New Roman" w:hAnsi="Times New Roman" w:cs="Times New Roman"/>
          <w:sz w:val="24"/>
          <w:szCs w:val="24"/>
          <w:lang w:eastAsia="zh-CN"/>
        </w:rPr>
        <w:t>2022年10月13日</w:t>
      </w:r>
      <w:r>
        <w:rPr>
          <w:rFonts w:hint="default" w:ascii="Times New Roman" w:hAnsi="Times New Roman" w:cs="Times New Roman"/>
          <w:sz w:val="24"/>
          <w:szCs w:val="24"/>
          <w:lang w:eastAsia="zh-CN"/>
        </w:rPr>
        <w:t>起至</w:t>
      </w:r>
      <w:r>
        <w:rPr>
          <w:rFonts w:hint="eastAsia" w:ascii="Times New Roman" w:hAnsi="Times New Roman" w:cs="Times New Roman"/>
          <w:sz w:val="24"/>
          <w:szCs w:val="24"/>
          <w:lang w:eastAsia="zh-CN"/>
        </w:rPr>
        <w:t>2023年10月12日</w:t>
      </w:r>
      <w:r>
        <w:rPr>
          <w:rFonts w:hint="default" w:ascii="Times New Roman" w:hAnsi="Times New Roman" w:eastAsia="宋体" w:cs="Times New Roman"/>
          <w:sz w:val="24"/>
          <w:szCs w:val="24"/>
        </w:rPr>
        <w:t>止。本</w:t>
      </w:r>
      <w:r>
        <w:rPr>
          <w:rFonts w:hint="default" w:ascii="Times New Roman" w:hAnsi="Times New Roman" w:cs="Times New Roman"/>
          <w:sz w:val="24"/>
          <w:szCs w:val="24"/>
          <w:lang w:eastAsia="zh-CN"/>
        </w:rPr>
        <w:t>估价</w:t>
      </w:r>
      <w:r>
        <w:rPr>
          <w:rFonts w:hint="default" w:ascii="Times New Roman" w:hAnsi="Times New Roman" w:eastAsia="宋体" w:cs="Times New Roman"/>
          <w:sz w:val="24"/>
          <w:szCs w:val="24"/>
        </w:rPr>
        <w:t>报告的结果是估价对象在价值时点正常状态下的价格，若政策发生重大变化或超过本估价报告规定的使用期限，应作相应调整或重新估价。</w:t>
      </w:r>
    </w:p>
    <w:p>
      <w:pPr>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未经本房地产估价机构和注册房地产估价师同意，估价报告不得向估价委托人及报告审查部门以外的单位及个人提供，凡因估价委托人使用估价报告不当而引起的后果，房地产估价机构和注册房地产估价师不承担相应的责任。</w:t>
      </w:r>
    </w:p>
    <w:p>
      <w:pPr>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lang w:val="zh-CN"/>
        </w:rPr>
        <w:t>本报告必须完整使用方为有效，对仅使用本报告中部分内容所导致的可能的损失，本房地产估价机构不承担责任。</w:t>
      </w:r>
    </w:p>
    <w:p>
      <w:pPr>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5、本估价报告的全部或其部分内容不得发表于任何公开媒体上，报告解释权为本房地产估价机构所有。</w:t>
      </w:r>
    </w:p>
    <w:p>
      <w:pPr>
        <w:keepNext w:val="0"/>
        <w:keepLines w:val="0"/>
        <w:pageBreakBefore w:val="0"/>
        <w:widowControl/>
        <w:kinsoku/>
        <w:wordWrap/>
        <w:overflowPunct/>
        <w:topLinePunct w:val="0"/>
        <w:autoSpaceDE/>
        <w:autoSpaceDN/>
        <w:bidi w:val="0"/>
        <w:adjustRightInd/>
        <w:spacing w:after="0" w:line="52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七、其他需要说明的事项</w:t>
      </w:r>
    </w:p>
    <w:p>
      <w:pPr>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1、估价过程中遇到不确定因素、或有事项非房地产估价师执业水平和能力所能评定，房地产估价师和估价机构对此类事项不承担任何责任。</w:t>
      </w:r>
    </w:p>
    <w:p>
      <w:pPr>
        <w:keepNext w:val="0"/>
        <w:keepLines w:val="0"/>
        <w:pageBreakBefore w:val="0"/>
        <w:widowControl/>
        <w:kinsoku/>
        <w:wordWrap/>
        <w:overflowPunct/>
        <w:topLinePunct w:val="0"/>
        <w:autoSpaceDE/>
        <w:autoSpaceDN/>
        <w:bidi w:val="0"/>
        <w:adjustRightInd/>
        <w:spacing w:after="0" w:line="520" w:lineRule="exact"/>
        <w:ind w:firstLine="48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rPr>
        <w:t>2、如发现本估价报告文字或数字因校对或其他类似原因出现差错时，请通知本公司进行更正。</w:t>
      </w:r>
      <w:r>
        <w:rPr>
          <w:rFonts w:hint="default" w:ascii="Times New Roman" w:hAnsi="Times New Roman" w:eastAsia="宋体" w:cs="Times New Roman"/>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b/>
          <w:sz w:val="32"/>
          <w:szCs w:val="32"/>
        </w:rPr>
      </w:pPr>
      <w:bookmarkStart w:id="2" w:name="_Toc1888"/>
      <w:r>
        <w:rPr>
          <w:rFonts w:hint="default" w:ascii="Times New Roman" w:hAnsi="Times New Roman" w:cs="Times New Roman"/>
          <w:b/>
          <w:sz w:val="32"/>
          <w:szCs w:val="32"/>
          <w:lang w:eastAsia="zh-CN"/>
        </w:rPr>
        <w:t>估价</w:t>
      </w:r>
      <w:r>
        <w:rPr>
          <w:rFonts w:hint="default" w:ascii="Times New Roman" w:hAnsi="Times New Roman" w:eastAsia="宋体" w:cs="Times New Roman"/>
          <w:b/>
          <w:sz w:val="32"/>
          <w:szCs w:val="32"/>
        </w:rPr>
        <w:t>结果报告</w:t>
      </w:r>
      <w:bookmarkEnd w:id="2"/>
    </w:p>
    <w:p>
      <w:pPr>
        <w:pStyle w:val="4"/>
        <w:keepNext w:val="0"/>
        <w:keepLines w:val="0"/>
        <w:pageBreakBefore w:val="0"/>
        <w:widowControl/>
        <w:kinsoku/>
        <w:wordWrap/>
        <w:overflowPunct/>
        <w:topLinePunct w:val="0"/>
        <w:autoSpaceDE/>
        <w:autoSpaceDN/>
        <w:bidi w:val="0"/>
        <w:adjustRightInd/>
        <w:snapToGrid/>
        <w:spacing w:before="0" w:line="360" w:lineRule="auto"/>
        <w:ind w:left="0" w:leftChars="0" w:firstLine="482" w:firstLineChars="200"/>
        <w:jc w:val="both"/>
        <w:textAlignment w:val="auto"/>
        <w:rPr>
          <w:rFonts w:hint="default" w:ascii="Times New Roman" w:hAnsi="Times New Roman" w:eastAsia="宋体" w:cs="Times New Roman"/>
          <w:b/>
          <w:sz w:val="24"/>
          <w:szCs w:val="24"/>
        </w:rPr>
      </w:pPr>
      <w:bookmarkStart w:id="3" w:name="_Toc24860"/>
      <w:r>
        <w:rPr>
          <w:rFonts w:hint="default" w:ascii="Times New Roman" w:hAnsi="Times New Roman" w:eastAsia="宋体" w:cs="Times New Roman"/>
          <w:b/>
          <w:sz w:val="24"/>
          <w:szCs w:val="24"/>
        </w:rPr>
        <w:t>一、估价委托人</w:t>
      </w:r>
      <w:bookmarkEnd w:id="3"/>
    </w:p>
    <w:p>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单位名称：中国信达资产管理股份有限公司山东省分公司</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成立日期：1999年09月15日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统一社会信用代码：91370000705901474U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公司类型：股份有限公司分公司(上市、国有控股)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登记机关：山东省市场监督管理局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企业地址：济南市</w:t>
      </w:r>
      <w:r>
        <w:rPr>
          <w:rFonts w:hint="default" w:ascii="Times New Roman" w:hAnsi="Times New Roman" w:cs="Times New Roman"/>
          <w:sz w:val="24"/>
          <w:szCs w:val="24"/>
          <w:lang w:eastAsia="zh-CN"/>
        </w:rPr>
        <w:t>历下区经十路</w:t>
      </w:r>
      <w:r>
        <w:rPr>
          <w:rFonts w:hint="default" w:ascii="Times New Roman" w:hAnsi="Times New Roman" w:cs="Times New Roman"/>
          <w:sz w:val="24"/>
          <w:szCs w:val="24"/>
          <w:lang w:val="en-US" w:eastAsia="zh-CN"/>
        </w:rPr>
        <w:t>11001号中国人寿大厦29层、30层</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经营范围：许可该机构经营中国银行业监督管理委员会依照有关法律、行政法规和其他规定批准的业务，经营范围以批准文件所列的为准。(有效期限以许可证为准)。(依法须经批准的项目，经相关部门批准后方可开展经营活动)。 </w:t>
      </w:r>
    </w:p>
    <w:p>
      <w:pPr>
        <w:pStyle w:val="4"/>
        <w:keepNext w:val="0"/>
        <w:keepLines w:val="0"/>
        <w:pageBreakBefore w:val="0"/>
        <w:widowControl/>
        <w:kinsoku/>
        <w:wordWrap/>
        <w:overflowPunct/>
        <w:topLinePunct w:val="0"/>
        <w:autoSpaceDE/>
        <w:autoSpaceDN/>
        <w:bidi w:val="0"/>
        <w:adjustRightInd/>
        <w:snapToGrid/>
        <w:spacing w:before="0" w:line="360" w:lineRule="auto"/>
        <w:ind w:left="0" w:leftChars="0" w:firstLine="482" w:firstLineChars="200"/>
        <w:jc w:val="both"/>
        <w:textAlignment w:val="auto"/>
        <w:rPr>
          <w:rFonts w:hint="default" w:ascii="Times New Roman" w:hAnsi="Times New Roman" w:eastAsia="宋体" w:cs="Times New Roman"/>
          <w:b/>
          <w:sz w:val="24"/>
          <w:szCs w:val="24"/>
        </w:rPr>
      </w:pPr>
      <w:bookmarkStart w:id="4" w:name="_Toc21516"/>
      <w:r>
        <w:rPr>
          <w:rFonts w:hint="default" w:ascii="Times New Roman" w:hAnsi="Times New Roman" w:eastAsia="宋体" w:cs="Times New Roman"/>
          <w:b/>
          <w:sz w:val="24"/>
          <w:szCs w:val="24"/>
        </w:rPr>
        <w:t>二、房地产估价机构</w:t>
      </w:r>
      <w:bookmarkEnd w:id="4"/>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单位名称：山东舜华房地产评估造价咨询有限公司</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址：济南市市中区小纬四路21号</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法定代表人：展焕强</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资质等级：贰级</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证书编号：鲁评002030</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联系电话：13082734566</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资质证书有效期：2021年9月10日至2024年9月9日</w:t>
      </w:r>
    </w:p>
    <w:p>
      <w:pPr>
        <w:pStyle w:val="4"/>
        <w:keepNext w:val="0"/>
        <w:keepLines w:val="0"/>
        <w:pageBreakBefore w:val="0"/>
        <w:widowControl/>
        <w:kinsoku/>
        <w:wordWrap/>
        <w:overflowPunct/>
        <w:topLinePunct w:val="0"/>
        <w:autoSpaceDE/>
        <w:autoSpaceDN/>
        <w:bidi w:val="0"/>
        <w:adjustRightInd/>
        <w:snapToGrid/>
        <w:spacing w:before="0" w:line="360" w:lineRule="auto"/>
        <w:ind w:left="0" w:leftChars="0" w:firstLine="482" w:firstLineChars="200"/>
        <w:jc w:val="both"/>
        <w:textAlignment w:val="auto"/>
        <w:rPr>
          <w:rFonts w:hint="default" w:ascii="Times New Roman" w:hAnsi="Times New Roman" w:eastAsia="宋体" w:cs="Times New Roman"/>
          <w:b/>
          <w:sz w:val="24"/>
          <w:szCs w:val="24"/>
        </w:rPr>
      </w:pPr>
      <w:bookmarkStart w:id="5" w:name="_Toc11457"/>
      <w:r>
        <w:rPr>
          <w:rFonts w:hint="default" w:ascii="Times New Roman" w:hAnsi="Times New Roman" w:eastAsia="宋体" w:cs="Times New Roman"/>
          <w:b/>
          <w:sz w:val="24"/>
          <w:szCs w:val="24"/>
        </w:rPr>
        <w:t>三、估价对象</w:t>
      </w:r>
      <w:bookmarkEnd w:id="5"/>
    </w:p>
    <w:p>
      <w:pPr>
        <w:keepNext w:val="0"/>
        <w:keepLines w:val="0"/>
        <w:pageBreakBefore w:val="0"/>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（一）估价对象界定</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bookmarkStart w:id="6" w:name="_Toc14405"/>
      <w:r>
        <w:rPr>
          <w:rFonts w:hint="default" w:ascii="Times New Roman" w:hAnsi="Times New Roman" w:eastAsia="宋体" w:cs="Times New Roman"/>
          <w:sz w:val="24"/>
          <w:szCs w:val="24"/>
        </w:rPr>
        <w:t>根据估价委托人提供的资料估价对象为债务人</w:t>
      </w:r>
      <w:r>
        <w:rPr>
          <w:rFonts w:hint="eastAsia" w:ascii="Times New Roman" w:hAnsi="Times New Roman" w:cs="Times New Roman"/>
          <w:sz w:val="24"/>
          <w:szCs w:val="24"/>
          <w:lang w:eastAsia="zh-CN"/>
        </w:rPr>
        <w:t>烟台市永旺钢材城有限责任公司</w:t>
      </w:r>
      <w:r>
        <w:rPr>
          <w:rFonts w:hint="default" w:ascii="Times New Roman" w:hAnsi="Times New Roman" w:eastAsia="宋体" w:cs="Times New Roman"/>
          <w:sz w:val="24"/>
          <w:szCs w:val="24"/>
        </w:rPr>
        <w:t>所涉及</w:t>
      </w:r>
      <w:r>
        <w:rPr>
          <w:rFonts w:hint="default" w:ascii="Times New Roman" w:hAnsi="Times New Roman" w:cs="Times New Roman"/>
          <w:sz w:val="24"/>
          <w:szCs w:val="24"/>
          <w:lang w:eastAsia="zh-CN"/>
        </w:rPr>
        <w:t>的房产、土地使用权</w:t>
      </w:r>
      <w:r>
        <w:rPr>
          <w:rFonts w:hint="default" w:ascii="Times New Roman" w:hAnsi="Times New Roman" w:eastAsia="宋体" w:cs="Times New Roman"/>
          <w:sz w:val="24"/>
          <w:szCs w:val="24"/>
        </w:rPr>
        <w:t>，</w:t>
      </w:r>
      <w:r>
        <w:rPr>
          <w:rFonts w:hint="default" w:ascii="Times New Roman" w:hAnsi="Times New Roman" w:eastAsia="宋体" w:cs="Times New Roman"/>
          <w:b w:val="0"/>
          <w:bCs w:val="0"/>
          <w:kern w:val="2"/>
          <w:sz w:val="24"/>
          <w:szCs w:val="24"/>
          <w:lang w:val="en-US" w:eastAsia="zh-CN" w:bidi="ar-SA"/>
        </w:rPr>
        <w:t>经评估人员现场勘察，地上房产目前正在正常使用</w:t>
      </w:r>
      <w:r>
        <w:rPr>
          <w:rFonts w:hint="default" w:ascii="Times New Roman" w:hAnsi="Times New Roman" w:cs="Times New Roman"/>
          <w:b w:val="0"/>
          <w:bCs w:val="0"/>
          <w:kern w:val="2"/>
          <w:sz w:val="24"/>
          <w:szCs w:val="24"/>
          <w:lang w:val="en-US" w:eastAsia="zh-CN" w:bidi="ar-SA"/>
        </w:rPr>
        <w:t>。</w:t>
      </w:r>
      <w:r>
        <w:rPr>
          <w:rFonts w:hint="default" w:ascii="Times New Roman" w:hAnsi="Times New Roman" w:eastAsia="宋体" w:cs="Times New Roman"/>
          <w:sz w:val="24"/>
          <w:szCs w:val="24"/>
        </w:rPr>
        <w:t>具体情况见下表。</w:t>
      </w:r>
    </w:p>
    <w:p>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拟处置债权涉及的</w:t>
      </w:r>
      <w:r>
        <w:rPr>
          <w:rFonts w:hint="default" w:ascii="Times New Roman" w:hAnsi="Times New Roman" w:cs="Times New Roman"/>
          <w:sz w:val="24"/>
          <w:szCs w:val="24"/>
          <w:lang w:eastAsia="zh-CN"/>
        </w:rPr>
        <w:t>资产</w:t>
      </w:r>
      <w:r>
        <w:rPr>
          <w:rFonts w:hint="default" w:ascii="Times New Roman" w:hAnsi="Times New Roman" w:eastAsia="宋体" w:cs="Times New Roman"/>
          <w:sz w:val="24"/>
          <w:szCs w:val="24"/>
        </w:rPr>
        <w:t>基本信息</w:t>
      </w:r>
    </w:p>
    <w:tbl>
      <w:tblPr>
        <w:tblStyle w:val="36"/>
        <w:tblW w:w="4995" w:type="pct"/>
        <w:tblInd w:w="0"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665"/>
        <w:gridCol w:w="1048"/>
        <w:gridCol w:w="896"/>
        <w:gridCol w:w="2060"/>
        <w:gridCol w:w="617"/>
        <w:gridCol w:w="594"/>
        <w:gridCol w:w="617"/>
        <w:gridCol w:w="617"/>
        <w:gridCol w:w="973"/>
        <w:gridCol w:w="1079"/>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PrEx>
        <w:trPr>
          <w:trHeight w:val="23" w:hRule="atLeast"/>
        </w:trPr>
        <w:tc>
          <w:tcPr>
            <w:tcW w:w="362"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资产</w:t>
            </w:r>
          </w:p>
        </w:tc>
        <w:tc>
          <w:tcPr>
            <w:tcW w:w="5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产权证书</w:t>
            </w:r>
          </w:p>
        </w:tc>
        <w:tc>
          <w:tcPr>
            <w:tcW w:w="48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产权登记人</w:t>
            </w:r>
          </w:p>
        </w:tc>
        <w:tc>
          <w:tcPr>
            <w:tcW w:w="11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坐落</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用途</w:t>
            </w:r>
          </w:p>
        </w:tc>
        <w:tc>
          <w:tcPr>
            <w:tcW w:w="32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开发程度</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结构</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总层数</w:t>
            </w:r>
          </w:p>
        </w:tc>
        <w:tc>
          <w:tcPr>
            <w:tcW w:w="53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 xml:space="preserve"> 数量（㎡） </w:t>
            </w:r>
          </w:p>
        </w:tc>
        <w:tc>
          <w:tcPr>
            <w:tcW w:w="58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highlight w:val="none"/>
                <w:lang w:val="en-US" w:eastAsia="zh-CN"/>
                <w14:textFill>
                  <w14:solidFill>
                    <w14:schemeClr w14:val="tx1"/>
                  </w14:solidFill>
                </w14:textFill>
              </w:rPr>
              <w:t>建成年代/终止日期</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1145" w:hRule="atLeast"/>
        </w:trPr>
        <w:tc>
          <w:tcPr>
            <w:tcW w:w="362"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房产</w:t>
            </w:r>
          </w:p>
        </w:tc>
        <w:tc>
          <w:tcPr>
            <w:tcW w:w="5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海房权证东村字第023159号</w:t>
            </w:r>
          </w:p>
        </w:tc>
        <w:tc>
          <w:tcPr>
            <w:tcW w:w="488" w:type="pct"/>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海阳市樱坤物资贸易有限公司</w:t>
            </w:r>
          </w:p>
        </w:tc>
        <w:tc>
          <w:tcPr>
            <w:tcW w:w="11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海阳市东村工业园区</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工业</w:t>
            </w:r>
          </w:p>
        </w:tc>
        <w:tc>
          <w:tcPr>
            <w:tcW w:w="32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钢</w:t>
            </w: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1/1</w:t>
            </w:r>
          </w:p>
        </w:tc>
        <w:tc>
          <w:tcPr>
            <w:tcW w:w="53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2,584.85 </w:t>
            </w:r>
          </w:p>
        </w:tc>
        <w:tc>
          <w:tcPr>
            <w:tcW w:w="58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2005</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3" w:hRule="atLeast"/>
        </w:trPr>
        <w:tc>
          <w:tcPr>
            <w:tcW w:w="362"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土地</w:t>
            </w:r>
          </w:p>
        </w:tc>
        <w:tc>
          <w:tcPr>
            <w:tcW w:w="5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海国用（2008）第003号</w:t>
            </w:r>
          </w:p>
        </w:tc>
        <w:tc>
          <w:tcPr>
            <w:tcW w:w="488" w:type="pct"/>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1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海阳市东村工业组团</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工业用地</w:t>
            </w:r>
          </w:p>
        </w:tc>
        <w:tc>
          <w:tcPr>
            <w:tcW w:w="32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五通一平</w:t>
            </w: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530"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9,396.08 </w:t>
            </w:r>
          </w:p>
        </w:tc>
        <w:tc>
          <w:tcPr>
            <w:tcW w:w="58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2056/12/27</w:t>
            </w:r>
          </w:p>
        </w:tc>
      </w:tr>
    </w:tbl>
    <w:p>
      <w:pPr>
        <w:numPr>
          <w:ilvl w:val="0"/>
          <w:numId w:val="1"/>
        </w:numPr>
        <w:spacing w:after="0" w:line="480" w:lineRule="exact"/>
        <w:ind w:left="79" w:leftChars="0" w:firstLine="361" w:firstLineChars="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估价对象权益状况</w:t>
      </w:r>
    </w:p>
    <w:tbl>
      <w:tblPr>
        <w:tblStyle w:val="36"/>
        <w:tblW w:w="5018"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Layout w:type="autofit"/>
        <w:tblCellMar>
          <w:top w:w="0" w:type="dxa"/>
          <w:left w:w="0" w:type="dxa"/>
          <w:bottom w:w="0" w:type="dxa"/>
          <w:right w:w="0" w:type="dxa"/>
        </w:tblCellMar>
      </w:tblPr>
      <w:tblGrid>
        <w:gridCol w:w="964"/>
        <w:gridCol w:w="522"/>
        <w:gridCol w:w="1615"/>
        <w:gridCol w:w="1570"/>
        <w:gridCol w:w="1612"/>
        <w:gridCol w:w="1276"/>
        <w:gridCol w:w="1461"/>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trPr>
        <w:tc>
          <w:tcPr>
            <w:tcW w:w="534"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auto"/>
                <w:kern w:val="2"/>
                <w:sz w:val="18"/>
                <w:szCs w:val="18"/>
                <w:highlight w:val="none"/>
                <w:lang w:val="en-US" w:eastAsia="zh-CN"/>
              </w:rPr>
              <w:t>产权登记人</w:t>
            </w:r>
          </w:p>
        </w:tc>
        <w:tc>
          <w:tcPr>
            <w:tcW w:w="289"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资产</w:t>
            </w:r>
          </w:p>
        </w:tc>
        <w:tc>
          <w:tcPr>
            <w:tcW w:w="895"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产权证书</w:t>
            </w:r>
          </w:p>
        </w:tc>
        <w:tc>
          <w:tcPr>
            <w:tcW w:w="870"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eastAsia" w:ascii="Times New Roman" w:hAnsi="Times New Roman" w:cs="Times New Roman"/>
                <w:b/>
                <w:bCs/>
                <w:color w:val="auto"/>
                <w:kern w:val="2"/>
                <w:sz w:val="18"/>
                <w:szCs w:val="18"/>
                <w:highlight w:val="none"/>
                <w:lang w:val="en-US" w:eastAsia="zh-CN"/>
              </w:rPr>
              <w:t>他项权证</w:t>
            </w:r>
          </w:p>
        </w:tc>
        <w:tc>
          <w:tcPr>
            <w:tcW w:w="893"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auto"/>
                <w:kern w:val="2"/>
                <w:sz w:val="18"/>
                <w:szCs w:val="18"/>
                <w:highlight w:val="none"/>
                <w:lang w:val="en-US" w:eastAsia="zh-CN"/>
              </w:rPr>
              <w:t>抵押权利人</w:t>
            </w:r>
          </w:p>
        </w:tc>
        <w:tc>
          <w:tcPr>
            <w:tcW w:w="707"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auto"/>
                <w:kern w:val="2"/>
                <w:sz w:val="18"/>
                <w:szCs w:val="18"/>
                <w:highlight w:val="none"/>
                <w:lang w:val="en-US" w:eastAsia="zh-CN"/>
              </w:rPr>
              <w:t>抵押金额</w:t>
            </w:r>
            <w:r>
              <w:rPr>
                <w:rFonts w:hint="default" w:ascii="Times New Roman" w:hAnsi="Times New Roman" w:cs="Times New Roman"/>
                <w:b/>
                <w:bCs/>
                <w:color w:val="auto"/>
                <w:kern w:val="2"/>
                <w:sz w:val="18"/>
                <w:szCs w:val="18"/>
                <w:highlight w:val="none"/>
                <w:lang w:val="en-US" w:eastAsia="zh-CN"/>
              </w:rPr>
              <w:t>及期限</w:t>
            </w:r>
          </w:p>
        </w:tc>
        <w:tc>
          <w:tcPr>
            <w:tcW w:w="809"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auto"/>
                <w:kern w:val="2"/>
                <w:sz w:val="18"/>
                <w:szCs w:val="18"/>
                <w:highlight w:val="none"/>
                <w:lang w:val="en-US" w:eastAsia="zh-CN"/>
              </w:rPr>
            </w:pPr>
            <w:r>
              <w:rPr>
                <w:rFonts w:hint="default" w:ascii="Times New Roman" w:hAnsi="Times New Roman" w:eastAsia="宋体" w:cs="Times New Roman"/>
                <w:b/>
                <w:bCs/>
                <w:color w:val="auto"/>
                <w:kern w:val="2"/>
                <w:sz w:val="18"/>
                <w:szCs w:val="18"/>
                <w:highlight w:val="none"/>
                <w:lang w:val="en-US" w:eastAsia="zh-CN"/>
              </w:rPr>
              <w:t>抵押查封信息（截止价值时点）</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23" w:hRule="atLeast"/>
        </w:trPr>
        <w:tc>
          <w:tcPr>
            <w:tcW w:w="534" w:type="pct"/>
            <w:vMerge w:val="restar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烟台市永旺钢材城有限责任公司</w:t>
            </w:r>
          </w:p>
        </w:tc>
        <w:tc>
          <w:tcPr>
            <w:tcW w:w="289"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房产</w:t>
            </w:r>
          </w:p>
        </w:tc>
        <w:tc>
          <w:tcPr>
            <w:tcW w:w="895"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海房权证东村字第023159号</w:t>
            </w:r>
          </w:p>
        </w:tc>
        <w:tc>
          <w:tcPr>
            <w:tcW w:w="870"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海房东村他字第06728号</w:t>
            </w:r>
          </w:p>
        </w:tc>
        <w:tc>
          <w:tcPr>
            <w:tcW w:w="893" w:type="pct"/>
            <w:vMerge w:val="restar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auto"/>
                <w:kern w:val="2"/>
                <w:sz w:val="18"/>
                <w:szCs w:val="18"/>
                <w:highlight w:val="none"/>
                <w:lang w:val="en-US" w:eastAsia="zh-CN"/>
              </w:rPr>
              <w:t>中国农业</w:t>
            </w:r>
            <w:r>
              <w:rPr>
                <w:rFonts w:hint="default" w:ascii="Times New Roman" w:hAnsi="Times New Roman" w:cs="Times New Roman"/>
                <w:color w:val="auto"/>
                <w:kern w:val="2"/>
                <w:sz w:val="18"/>
                <w:szCs w:val="18"/>
                <w:highlight w:val="none"/>
                <w:lang w:val="en-US" w:eastAsia="zh-CN"/>
              </w:rPr>
              <w:t>银行</w:t>
            </w:r>
            <w:r>
              <w:rPr>
                <w:rFonts w:hint="default" w:ascii="Times New Roman" w:hAnsi="Times New Roman" w:eastAsia="宋体" w:cs="Times New Roman"/>
                <w:color w:val="auto"/>
                <w:kern w:val="2"/>
                <w:sz w:val="18"/>
                <w:szCs w:val="18"/>
                <w:highlight w:val="none"/>
                <w:lang w:val="en-US" w:eastAsia="zh-CN"/>
              </w:rPr>
              <w:t>股份有限公司</w:t>
            </w:r>
            <w:r>
              <w:rPr>
                <w:rFonts w:hint="default" w:ascii="Times New Roman" w:hAnsi="Times New Roman" w:cs="Times New Roman"/>
                <w:color w:val="auto"/>
                <w:kern w:val="2"/>
                <w:sz w:val="18"/>
                <w:szCs w:val="18"/>
                <w:highlight w:val="none"/>
                <w:lang w:val="en-US" w:eastAsia="zh-CN"/>
              </w:rPr>
              <w:t>海阳支行</w:t>
            </w:r>
          </w:p>
        </w:tc>
        <w:tc>
          <w:tcPr>
            <w:tcW w:w="707" w:type="pct"/>
            <w:vMerge w:val="restar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债权金额：1,660万元；抵押期限：2018年8月30日至2019年8月29日</w:t>
            </w:r>
          </w:p>
        </w:tc>
        <w:tc>
          <w:tcPr>
            <w:tcW w:w="809" w:type="pct"/>
            <w:vMerge w:val="restar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有抵押</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23" w:hRule="atLeast"/>
        </w:trPr>
        <w:tc>
          <w:tcPr>
            <w:tcW w:w="534" w:type="pct"/>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89"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土地</w:t>
            </w:r>
          </w:p>
        </w:tc>
        <w:tc>
          <w:tcPr>
            <w:tcW w:w="895"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海国用（2008）第003号</w:t>
            </w:r>
          </w:p>
        </w:tc>
        <w:tc>
          <w:tcPr>
            <w:tcW w:w="870"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海他项（2008）第081号</w:t>
            </w:r>
          </w:p>
        </w:tc>
        <w:tc>
          <w:tcPr>
            <w:tcW w:w="893" w:type="pct"/>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707" w:type="pct"/>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809" w:type="pct"/>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r>
    </w:tbl>
    <w:p>
      <w:pPr>
        <w:pStyle w:val="4"/>
        <w:keepNext w:val="0"/>
        <w:keepLines w:val="0"/>
        <w:pageBreakBefore w:val="0"/>
        <w:widowControl/>
        <w:kinsoku/>
        <w:wordWrap/>
        <w:overflowPunct/>
        <w:topLinePunct w:val="0"/>
        <w:autoSpaceDE/>
        <w:autoSpaceDN/>
        <w:bidi w:val="0"/>
        <w:adjustRightInd/>
        <w:snapToGrid/>
        <w:spacing w:before="0" w:after="0" w:line="50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四、估价目的</w:t>
      </w:r>
      <w:bookmarkEnd w:id="6"/>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bookmarkStart w:id="7" w:name="_Toc27737"/>
      <w:bookmarkStart w:id="8" w:name="_Toc362878893"/>
      <w:bookmarkStart w:id="9" w:name="_Toc247447024"/>
      <w:r>
        <w:rPr>
          <w:rFonts w:hint="default" w:ascii="Times New Roman" w:hAnsi="Times New Roman" w:cs="Times New Roman"/>
          <w:sz w:val="24"/>
          <w:szCs w:val="24"/>
          <w:lang w:eastAsia="zh-CN"/>
        </w:rPr>
        <w:t>为中国信达资产管理股份有限公司山东省分公司拟处置</w:t>
      </w:r>
      <w:r>
        <w:rPr>
          <w:rFonts w:hint="eastAsia" w:ascii="Times New Roman" w:hAnsi="Times New Roman" w:cs="Times New Roman"/>
          <w:sz w:val="24"/>
          <w:szCs w:val="24"/>
          <w:lang w:eastAsia="zh-CN"/>
        </w:rPr>
        <w:t>烟台市永旺钢材城有限责任公司不良债权涉</w:t>
      </w:r>
      <w:r>
        <w:rPr>
          <w:rFonts w:hint="default" w:ascii="Times New Roman" w:hAnsi="Times New Roman" w:cs="Times New Roman"/>
          <w:sz w:val="24"/>
          <w:szCs w:val="24"/>
          <w:lang w:eastAsia="zh-CN"/>
        </w:rPr>
        <w:t>及的房产和土地使用权提供价值参考和意见</w:t>
      </w:r>
      <w:r>
        <w:rPr>
          <w:rFonts w:hint="default" w:ascii="Times New Roman" w:hAnsi="Times New Roman" w:eastAsia="宋体" w:cs="Times New Roman"/>
          <w:sz w:val="24"/>
          <w:szCs w:val="24"/>
        </w:rPr>
        <w:t>。</w:t>
      </w:r>
    </w:p>
    <w:p>
      <w:pPr>
        <w:keepNext w:val="0"/>
        <w:keepLines w:val="0"/>
        <w:pageBreakBefore w:val="0"/>
        <w:widowControl/>
        <w:numPr>
          <w:ilvl w:val="0"/>
          <w:numId w:val="2"/>
        </w:numPr>
        <w:kinsoku/>
        <w:wordWrap/>
        <w:overflowPunct/>
        <w:topLinePunct w:val="0"/>
        <w:autoSpaceDE/>
        <w:autoSpaceDN/>
        <w:bidi w:val="0"/>
        <w:adjustRightInd/>
        <w:snapToGrid/>
        <w:spacing w:before="0" w:after="0" w:line="500" w:lineRule="exact"/>
        <w:ind w:firstLine="482" w:firstLineChars="200"/>
        <w:jc w:val="both"/>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价值时点</w:t>
      </w:r>
      <w:bookmarkEnd w:id="7"/>
      <w:bookmarkEnd w:id="8"/>
      <w:bookmarkEnd w:id="9"/>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val="en-US" w:eastAsia="zh-CN"/>
        </w:rPr>
        <w:t>2022年9月30日</w:t>
      </w:r>
      <w:r>
        <w:rPr>
          <w:rFonts w:hint="default" w:ascii="Times New Roman" w:hAnsi="Times New Roman" w:eastAsia="宋体" w:cs="Times New Roman"/>
          <w:color w:val="000000"/>
          <w:sz w:val="24"/>
          <w:szCs w:val="24"/>
          <w:lang w:eastAsia="zh-CN"/>
        </w:rPr>
        <w:t>，即实地查勘之日</w:t>
      </w:r>
      <w:r>
        <w:rPr>
          <w:rFonts w:hint="default" w:ascii="Times New Roman" w:hAnsi="Times New Roman" w:cs="Times New Roman"/>
          <w:color w:val="000000"/>
          <w:sz w:val="24"/>
          <w:szCs w:val="24"/>
          <w:highlight w:val="none"/>
          <w:lang w:eastAsia="zh-CN"/>
        </w:rPr>
        <w:t>。</w:t>
      </w:r>
    </w:p>
    <w:p>
      <w:pPr>
        <w:pStyle w:val="4"/>
        <w:keepNext w:val="0"/>
        <w:keepLines w:val="0"/>
        <w:pageBreakBefore w:val="0"/>
        <w:widowControl/>
        <w:kinsoku/>
        <w:wordWrap/>
        <w:overflowPunct/>
        <w:topLinePunct w:val="0"/>
        <w:autoSpaceDE/>
        <w:autoSpaceDN/>
        <w:bidi w:val="0"/>
        <w:adjustRightInd/>
        <w:snapToGrid/>
        <w:spacing w:before="0" w:after="0" w:line="500" w:lineRule="exact"/>
        <w:ind w:firstLine="482" w:firstLineChars="200"/>
        <w:jc w:val="both"/>
        <w:textAlignment w:val="auto"/>
        <w:rPr>
          <w:rFonts w:hint="default" w:ascii="Times New Roman" w:hAnsi="Times New Roman" w:eastAsia="宋体" w:cs="Times New Roman"/>
          <w:b/>
          <w:sz w:val="24"/>
          <w:szCs w:val="24"/>
        </w:rPr>
      </w:pPr>
      <w:bookmarkStart w:id="10" w:name="_Toc5699"/>
      <w:r>
        <w:rPr>
          <w:rFonts w:hint="default" w:ascii="Times New Roman" w:hAnsi="Times New Roman" w:eastAsia="宋体" w:cs="Times New Roman"/>
          <w:b/>
          <w:sz w:val="24"/>
          <w:szCs w:val="24"/>
        </w:rPr>
        <w:t>六、价值类型</w:t>
      </w:r>
      <w:bookmarkEnd w:id="10"/>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本报告的估价结果所采用价值类型为</w:t>
      </w:r>
      <w:r>
        <w:rPr>
          <w:rFonts w:hint="default" w:ascii="Times New Roman" w:hAnsi="Times New Roman" w:cs="Times New Roman"/>
          <w:bCs/>
          <w:sz w:val="24"/>
          <w:szCs w:val="24"/>
          <w:lang w:eastAsia="zh-CN"/>
        </w:rPr>
        <w:t>快速变现价值</w:t>
      </w:r>
      <w:r>
        <w:rPr>
          <w:rFonts w:hint="default" w:ascii="Times New Roman" w:hAnsi="Times New Roman" w:eastAsia="宋体" w:cs="Times New Roman"/>
          <w:bCs/>
          <w:sz w:val="24"/>
          <w:szCs w:val="24"/>
        </w:rPr>
        <w:t>。</w:t>
      </w:r>
      <w:r>
        <w:rPr>
          <w:rFonts w:hint="default" w:ascii="Times New Roman" w:hAnsi="Times New Roman" w:cs="Times New Roman"/>
          <w:bCs/>
          <w:sz w:val="24"/>
          <w:szCs w:val="24"/>
          <w:lang w:eastAsia="zh-CN"/>
        </w:rPr>
        <w:t>是指在分析对象处于被迫出售、快速变现等非正常市场条件下的价值估计数额。</w:t>
      </w:r>
    </w:p>
    <w:p>
      <w:pPr>
        <w:pStyle w:val="4"/>
        <w:keepNext w:val="0"/>
        <w:keepLines w:val="0"/>
        <w:pageBreakBefore w:val="0"/>
        <w:widowControl/>
        <w:kinsoku/>
        <w:wordWrap/>
        <w:overflowPunct/>
        <w:topLinePunct w:val="0"/>
        <w:autoSpaceDE/>
        <w:autoSpaceDN/>
        <w:bidi w:val="0"/>
        <w:adjustRightInd/>
        <w:snapToGrid/>
        <w:spacing w:before="0" w:line="500" w:lineRule="exact"/>
        <w:ind w:firstLine="482" w:firstLineChars="200"/>
        <w:jc w:val="both"/>
        <w:textAlignment w:val="auto"/>
        <w:rPr>
          <w:rFonts w:hint="default" w:ascii="Times New Roman" w:hAnsi="Times New Roman" w:eastAsia="宋体" w:cs="Times New Roman"/>
          <w:b/>
          <w:sz w:val="24"/>
          <w:szCs w:val="24"/>
        </w:rPr>
      </w:pPr>
      <w:bookmarkStart w:id="11" w:name="_Toc30296"/>
      <w:r>
        <w:rPr>
          <w:rFonts w:hint="default" w:ascii="Times New Roman" w:hAnsi="Times New Roman" w:eastAsia="宋体" w:cs="Times New Roman"/>
          <w:b/>
          <w:sz w:val="24"/>
          <w:szCs w:val="24"/>
        </w:rPr>
        <w:t>七、估价依据</w:t>
      </w:r>
      <w:bookmarkEnd w:id="11"/>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《中华人民共和国资产评估法》</w:t>
      </w:r>
      <w:r>
        <w:rPr>
          <w:rFonts w:hint="default" w:ascii="Times New Roman" w:hAnsi="Times New Roman" w:cs="Times New Roman"/>
          <w:sz w:val="24"/>
          <w:szCs w:val="24"/>
          <w:lang w:val="en-US" w:eastAsia="zh-CN"/>
        </w:rPr>
        <w:t>(中华人民共和国主席令第四十六号，</w:t>
      </w:r>
      <w:r>
        <w:rPr>
          <w:rFonts w:hint="default" w:ascii="Times New Roman" w:hAnsi="Times New Roman" w:cs="Times New Roman"/>
          <w:color w:val="000000" w:themeColor="text1"/>
          <w:sz w:val="24"/>
          <w:szCs w:val="24"/>
          <w:highlight w:val="none"/>
          <w14:textFill>
            <w14:solidFill>
              <w14:schemeClr w14:val="tx1"/>
            </w14:solidFill>
          </w14:textFill>
        </w:rPr>
        <w:t>2016年7月2日第十二届全国人民代表大会常务委员会第二十一次会议通过</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rPr>
        <w:t>；</w:t>
      </w:r>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《中华人民共和国城市房地产管理法》</w:t>
      </w:r>
      <w:r>
        <w:rPr>
          <w:rFonts w:hint="default" w:ascii="Times New Roman" w:hAnsi="Times New Roman" w:eastAsia="宋体" w:cs="Times New Roman"/>
          <w:sz w:val="24"/>
          <w:szCs w:val="24"/>
          <w:lang w:val="en-US" w:eastAsia="zh-CN"/>
        </w:rPr>
        <w:t>(中华人民共和国主席令第72号</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2019年8月26日，十三届全国人大常委会第修正)</w:t>
      </w:r>
      <w:r>
        <w:rPr>
          <w:rFonts w:hint="default" w:ascii="Times New Roman" w:hAnsi="Times New Roman" w:eastAsia="宋体" w:cs="Times New Roman"/>
          <w:sz w:val="24"/>
          <w:szCs w:val="24"/>
        </w:rPr>
        <w:t>；</w:t>
      </w:r>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《中华人民共和国土地管理法》</w:t>
      </w:r>
      <w:r>
        <w:rPr>
          <w:rFonts w:hint="default" w:ascii="Times New Roman" w:hAnsi="Times New Roman" w:eastAsia="宋体" w:cs="Times New Roman"/>
          <w:sz w:val="24"/>
          <w:szCs w:val="24"/>
          <w:lang w:val="en-US" w:eastAsia="zh-CN"/>
        </w:rPr>
        <w:t>(中华人民共和国主席令第28号</w:t>
      </w:r>
      <w:r>
        <w:rPr>
          <w:rFonts w:hint="default" w:ascii="Times New Roman" w:hAnsi="Times New Roman" w:cs="Times New Roman"/>
          <w:sz w:val="24"/>
          <w:szCs w:val="24"/>
          <w:lang w:val="en-US" w:eastAsia="zh-CN"/>
        </w:rPr>
        <w:t>，</w:t>
      </w:r>
      <w:r>
        <w:rPr>
          <w:rFonts w:hint="default" w:ascii="Times New Roman" w:hAnsi="Times New Roman" w:cs="Times New Roman"/>
          <w:color w:val="000000" w:themeColor="text1"/>
          <w:sz w:val="24"/>
          <w:szCs w:val="24"/>
          <w:highlight w:val="none"/>
          <w14:textFill>
            <w14:solidFill>
              <w14:schemeClr w14:val="tx1"/>
            </w14:solidFill>
          </w14:textFill>
        </w:rPr>
        <w:t>2016年7月2日第十二届全国人民代表大会常务委员会第二十一次会议通过</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w:t>
      </w:r>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《关于印发&lt;基本建设项目建设成本管理规定&gt;的通知》（财建[2016]504号）；</w:t>
      </w:r>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房地产估价规范》</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GB/T 50291-2015</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w:t>
      </w:r>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《房地产估价基本术语标准》</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GB/T 50899-2013</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w:t>
      </w:r>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《房屋所有权证》、《</w:t>
      </w:r>
      <w:r>
        <w:rPr>
          <w:rFonts w:hint="default" w:ascii="Times New Roman" w:hAnsi="Times New Roman" w:cs="Times New Roman"/>
          <w:sz w:val="24"/>
          <w:szCs w:val="24"/>
          <w:lang w:eastAsia="zh-CN"/>
        </w:rPr>
        <w:t>土地使用权证</w:t>
      </w:r>
      <w:r>
        <w:rPr>
          <w:rFonts w:hint="default" w:ascii="Times New Roman" w:hAnsi="Times New Roman" w:eastAsia="宋体" w:cs="Times New Roman"/>
          <w:sz w:val="24"/>
          <w:szCs w:val="24"/>
        </w:rPr>
        <w:t>》；</w:t>
      </w:r>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cs="Times New Roman"/>
          <w:sz w:val="24"/>
          <w:szCs w:val="24"/>
          <w:lang w:eastAsia="zh-CN"/>
        </w:rPr>
        <w:t>他项权证</w:t>
      </w:r>
      <w:r>
        <w:rPr>
          <w:rFonts w:hint="default" w:ascii="Times New Roman" w:hAnsi="Times New Roman" w:eastAsia="宋体" w:cs="Times New Roman"/>
          <w:sz w:val="24"/>
          <w:szCs w:val="24"/>
        </w:rPr>
        <w:t>》；</w:t>
      </w:r>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提供的其他相关资料及现场查勘所获资料；</w:t>
      </w:r>
    </w:p>
    <w:p>
      <w:pPr>
        <w:keepNext w:val="0"/>
        <w:keepLines w:val="0"/>
        <w:pageBreakBefore w:val="0"/>
        <w:widowControl/>
        <w:numPr>
          <w:ilvl w:val="0"/>
          <w:numId w:val="3"/>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国家、地方政府及有关部门颁布的有关法律、法规、通知等。</w:t>
      </w:r>
    </w:p>
    <w:p>
      <w:pPr>
        <w:pStyle w:val="4"/>
        <w:keepNext w:val="0"/>
        <w:keepLines w:val="0"/>
        <w:pageBreakBefore w:val="0"/>
        <w:widowControl/>
        <w:kinsoku/>
        <w:wordWrap/>
        <w:overflowPunct/>
        <w:topLinePunct w:val="0"/>
        <w:autoSpaceDE/>
        <w:autoSpaceDN/>
        <w:bidi w:val="0"/>
        <w:adjustRightInd/>
        <w:snapToGrid/>
        <w:spacing w:before="0" w:line="500" w:lineRule="exact"/>
        <w:ind w:firstLine="482" w:firstLineChars="200"/>
        <w:jc w:val="both"/>
        <w:textAlignment w:val="auto"/>
        <w:rPr>
          <w:rFonts w:hint="default" w:ascii="Times New Roman" w:hAnsi="Times New Roman" w:eastAsia="宋体" w:cs="Times New Roman"/>
          <w:b/>
          <w:sz w:val="24"/>
          <w:szCs w:val="24"/>
        </w:rPr>
      </w:pPr>
      <w:bookmarkStart w:id="12" w:name="_Toc13534"/>
      <w:r>
        <w:rPr>
          <w:rFonts w:hint="default" w:ascii="Times New Roman" w:hAnsi="Times New Roman" w:eastAsia="宋体" w:cs="Times New Roman"/>
          <w:b/>
          <w:sz w:val="24"/>
          <w:szCs w:val="24"/>
        </w:rPr>
        <w:t>八、估价原则</w:t>
      </w:r>
      <w:bookmarkEnd w:id="12"/>
    </w:p>
    <w:p>
      <w:pPr>
        <w:keepNext w:val="0"/>
        <w:keepLines w:val="0"/>
        <w:pageBreakBefore w:val="0"/>
        <w:widowControl/>
        <w:numPr>
          <w:ilvl w:val="0"/>
          <w:numId w:val="4"/>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独立、客观、公正原则：要求注册房地产估价师站在中立的立场上，实事求是、公平正直地评估出对各方估价利害关系人均是公平合理的价值或价格。</w:t>
      </w:r>
    </w:p>
    <w:p>
      <w:pPr>
        <w:keepNext w:val="0"/>
        <w:keepLines w:val="0"/>
        <w:pageBreakBefore w:val="0"/>
        <w:widowControl/>
        <w:numPr>
          <w:ilvl w:val="0"/>
          <w:numId w:val="4"/>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合法原则：指注册房地产估价师和估价机构在评估过程中，应遵循相关法律、法规和规定，应以委估对象合法使用，合法处分为前提估价。</w:t>
      </w:r>
    </w:p>
    <w:p>
      <w:pPr>
        <w:keepNext w:val="0"/>
        <w:keepLines w:val="0"/>
        <w:pageBreakBefore w:val="0"/>
        <w:widowControl/>
        <w:numPr>
          <w:ilvl w:val="0"/>
          <w:numId w:val="4"/>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最高最佳使用原则：是指应以委估对象的最高最佳使用为前提估价。在合法使用前提下，房地产只有在最高最佳使用状态下才能发挥最大效用，所谓最高最佳使用是指法律上允许、技术上可能、经济上可行，经过充分合理的论证，能使估价对象产生最高价值的使用方式。</w:t>
      </w:r>
    </w:p>
    <w:p>
      <w:pPr>
        <w:keepNext w:val="0"/>
        <w:keepLines w:val="0"/>
        <w:pageBreakBefore w:val="0"/>
        <w:widowControl/>
        <w:numPr>
          <w:ilvl w:val="0"/>
          <w:numId w:val="4"/>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替代原则：是指估价结果不得明显偏离类似房地产在同等条件下的正常价格。</w:t>
      </w:r>
    </w:p>
    <w:p>
      <w:pPr>
        <w:keepNext w:val="0"/>
        <w:keepLines w:val="0"/>
        <w:pageBreakBefore w:val="0"/>
        <w:widowControl/>
        <w:numPr>
          <w:ilvl w:val="0"/>
          <w:numId w:val="4"/>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bookmarkStart w:id="13" w:name="_Toc17729"/>
      <w:bookmarkStart w:id="14" w:name="_Toc26208"/>
      <w:bookmarkStart w:id="15" w:name="_Toc476068529"/>
      <w:bookmarkStart w:id="16" w:name="_Toc483318488"/>
      <w:bookmarkStart w:id="17" w:name="_Toc5868"/>
      <w:bookmarkStart w:id="18" w:name="_Toc13871"/>
      <w:r>
        <w:rPr>
          <w:rFonts w:hint="default" w:ascii="Times New Roman" w:hAnsi="Times New Roman" w:eastAsia="宋体" w:cs="Times New Roman"/>
          <w:sz w:val="24"/>
          <w:szCs w:val="24"/>
        </w:rPr>
        <w:t>价值时点原则：是指估价结果应是估价对象在价值时点的客观合理价格或价值。</w:t>
      </w:r>
      <w:bookmarkEnd w:id="13"/>
      <w:bookmarkEnd w:id="14"/>
      <w:bookmarkEnd w:id="15"/>
      <w:bookmarkEnd w:id="16"/>
      <w:bookmarkEnd w:id="17"/>
      <w:bookmarkEnd w:id="18"/>
    </w:p>
    <w:p>
      <w:pPr>
        <w:pStyle w:val="4"/>
        <w:keepNext w:val="0"/>
        <w:keepLines w:val="0"/>
        <w:pageBreakBefore w:val="0"/>
        <w:widowControl/>
        <w:kinsoku/>
        <w:wordWrap/>
        <w:overflowPunct/>
        <w:topLinePunct w:val="0"/>
        <w:autoSpaceDE/>
        <w:autoSpaceDN/>
        <w:bidi w:val="0"/>
        <w:adjustRightInd/>
        <w:snapToGrid/>
        <w:spacing w:before="0" w:line="500" w:lineRule="exact"/>
        <w:ind w:firstLine="482" w:firstLineChars="200"/>
        <w:jc w:val="both"/>
        <w:textAlignment w:val="auto"/>
        <w:rPr>
          <w:rFonts w:hint="default" w:ascii="Times New Roman" w:hAnsi="Times New Roman" w:eastAsia="宋体" w:cs="Times New Roman"/>
          <w:b/>
          <w:sz w:val="24"/>
          <w:szCs w:val="24"/>
        </w:rPr>
      </w:pPr>
      <w:bookmarkStart w:id="19" w:name="_Toc12292"/>
      <w:r>
        <w:rPr>
          <w:rFonts w:hint="default" w:ascii="Times New Roman" w:hAnsi="Times New Roman" w:eastAsia="宋体" w:cs="Times New Roman"/>
          <w:b/>
          <w:sz w:val="24"/>
          <w:szCs w:val="24"/>
        </w:rPr>
        <w:t>九、估价方法与估价思路</w:t>
      </w:r>
      <w:bookmarkEnd w:id="19"/>
    </w:p>
    <w:p>
      <w:pPr>
        <w:keepNext w:val="0"/>
        <w:keepLines w:val="0"/>
        <w:pageBreakBefore w:val="0"/>
        <w:widowControl/>
        <w:numPr>
          <w:ilvl w:val="0"/>
          <w:numId w:val="5"/>
        </w:numPr>
        <w:tabs>
          <w:tab w:val="left" w:pos="6946"/>
        </w:tabs>
        <w:kinsoku/>
        <w:wordWrap/>
        <w:overflowPunct/>
        <w:topLinePunct w:val="0"/>
        <w:autoSpaceDE/>
        <w:autoSpaceDN/>
        <w:bidi w:val="0"/>
        <w:adjustRightInd/>
        <w:snapToGrid/>
        <w:spacing w:after="0" w:line="500" w:lineRule="exact"/>
        <w:ind w:firstLine="482" w:firstLineChars="200"/>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房屋建筑物及构筑物</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依据</w:t>
      </w:r>
      <w:r>
        <w:rPr>
          <w:rFonts w:hint="default" w:ascii="Times New Roman" w:hAnsi="Times New Roman" w:eastAsia="宋体" w:cs="Times New Roman"/>
          <w:sz w:val="24"/>
          <w:szCs w:val="24"/>
        </w:rPr>
        <w:t>各房屋建筑物的实际情况，</w:t>
      </w:r>
      <w:r>
        <w:rPr>
          <w:rFonts w:hint="default" w:ascii="Times New Roman" w:hAnsi="Times New Roman" w:eastAsia="宋体" w:cs="Times New Roman"/>
          <w:bCs/>
          <w:sz w:val="24"/>
          <w:szCs w:val="24"/>
        </w:rPr>
        <w:t>工业性房地产价值测算采用成本法。</w:t>
      </w:r>
    </w:p>
    <w:p>
      <w:pPr>
        <w:keepNext w:val="0"/>
        <w:keepLines w:val="0"/>
        <w:pageBreakBefore w:val="0"/>
        <w:widowControl/>
        <w:numPr>
          <w:ilvl w:val="0"/>
          <w:numId w:val="6"/>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成本法是以房地产价格各个构成部分的累加为基础，来求取房地产价值的方法。</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房屋建筑物的重置价值＝建安造价＋工程前期费用及其他费用＋资金成本</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评估价值=重置价值×成新率</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（1）确定其重置价值</w:t>
      </w:r>
    </w:p>
    <w:p>
      <w:pPr>
        <w:keepNext w:val="0"/>
        <w:keepLines w:val="0"/>
        <w:pageBreakBefore w:val="0"/>
        <w:widowControl/>
        <w:numPr>
          <w:ilvl w:val="0"/>
          <w:numId w:val="7"/>
        </w:numPr>
        <w:tabs>
          <w:tab w:val="left" w:pos="6946"/>
        </w:tabs>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评估人员结合现场勘察结果，重新编制工程量清单，按各地现行建筑工程预算定额和取费标准计算出评估基准日各个主要建筑物和具有代表性的建筑物的工程造价，并对其进行适当处理后得到建筑物建筑安装工程费的方法。 </w:t>
      </w:r>
    </w:p>
    <w:p>
      <w:pPr>
        <w:keepNext w:val="0"/>
        <w:keepLines w:val="0"/>
        <w:pageBreakBefore w:val="0"/>
        <w:widowControl/>
        <w:numPr>
          <w:ilvl w:val="0"/>
          <w:numId w:val="7"/>
        </w:numPr>
        <w:tabs>
          <w:tab w:val="left" w:pos="6946"/>
        </w:tabs>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工程前期费用及其他费用</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主要包括专业费及其他费用等</w:t>
      </w:r>
      <w:r>
        <w:rPr>
          <w:rFonts w:hint="default" w:ascii="Times New Roman" w:hAnsi="Times New Roman" w:cs="Times New Roman"/>
          <w:sz w:val="24"/>
          <w:szCs w:val="24"/>
          <w:lang w:eastAsia="zh-CN"/>
        </w:rPr>
        <w:t>。</w:t>
      </w:r>
    </w:p>
    <w:p>
      <w:pPr>
        <w:keepNext w:val="0"/>
        <w:keepLines w:val="0"/>
        <w:pageBreakBefore w:val="0"/>
        <w:widowControl/>
        <w:numPr>
          <w:ilvl w:val="0"/>
          <w:numId w:val="7"/>
        </w:numPr>
        <w:tabs>
          <w:tab w:val="left" w:pos="6946"/>
        </w:tabs>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资金成本</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根据评估基准日贷款市场报价利率（LPR），按资金在正常建设工期内均匀投入计算，计算公式为：</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资金成本＝(建安综合造价＋前期费用和其他费用×贷款市场报价利率（LPR）×正常建设工期(月)/12×1/2</w:t>
      </w:r>
    </w:p>
    <w:p>
      <w:pPr>
        <w:keepNext w:val="0"/>
        <w:keepLines w:val="0"/>
        <w:pageBreakBefore w:val="0"/>
        <w:widowControl/>
        <w:numPr>
          <w:ilvl w:val="0"/>
          <w:numId w:val="7"/>
        </w:numPr>
        <w:tabs>
          <w:tab w:val="left" w:pos="6946"/>
        </w:tabs>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重置价值</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房屋建筑物的重置价值＝建安造价＋工程前期费用及其他费用＋资金成本</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）评定房屋建筑物的成新率</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综合成新率=勘察成新率×60%+理论成新率×40%</w:t>
      </w:r>
    </w:p>
    <w:p>
      <w:pPr>
        <w:keepNext w:val="0"/>
        <w:keepLines w:val="0"/>
        <w:pageBreakBefore w:val="0"/>
        <w:widowControl/>
        <w:numPr>
          <w:ilvl w:val="0"/>
          <w:numId w:val="5"/>
        </w:numPr>
        <w:tabs>
          <w:tab w:val="left" w:pos="6946"/>
        </w:tabs>
        <w:kinsoku/>
        <w:wordWrap/>
        <w:overflowPunct/>
        <w:topLinePunct w:val="0"/>
        <w:autoSpaceDE/>
        <w:autoSpaceDN/>
        <w:bidi w:val="0"/>
        <w:adjustRightInd/>
        <w:snapToGrid/>
        <w:spacing w:after="0" w:line="500" w:lineRule="exact"/>
        <w:ind w:firstLine="482" w:firstLineChars="200"/>
        <w:jc w:val="both"/>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eastAsia="zh-CN"/>
        </w:rPr>
        <w:t>土地使用权</w:t>
      </w:r>
    </w:p>
    <w:p>
      <w:pPr>
        <w:keepNext w:val="0"/>
        <w:keepLines w:val="0"/>
        <w:pageBreakBefore w:val="0"/>
        <w:widowControl/>
        <w:kinsoku/>
        <w:wordWrap/>
        <w:overflowPunct/>
        <w:topLinePunct/>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lang w:eastAsia="zh-CN"/>
        </w:rPr>
        <w:t>市场法</w:t>
      </w:r>
      <w:r>
        <w:rPr>
          <w:rFonts w:hint="default" w:ascii="Times New Roman" w:hAnsi="Times New Roman" w:eastAsia="宋体" w:cs="Times New Roman"/>
          <w:sz w:val="24"/>
          <w:szCs w:val="24"/>
          <w:highlight w:val="none"/>
        </w:rPr>
        <w:t>指在求取一宗待评估土地价格时，根据替代原则，将待估宗地与在较近时期内已经发生了交易的类似土地交易实例进行对照比较，并依据后者已知的价格，参照该土地的交易情况、期日、区域及个别因素等差别，修正得出待估宗地在评估期日地价的一种方法。</w:t>
      </w:r>
    </w:p>
    <w:p>
      <w:pPr>
        <w:keepNext w:val="0"/>
        <w:keepLines w:val="0"/>
        <w:pageBreakBefore w:val="0"/>
        <w:widowControl/>
        <w:kinsoku/>
        <w:wordWrap/>
        <w:overflowPunct/>
        <w:topLinePunct/>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highlight w:val="none"/>
        </w:rPr>
        <w:t>测算公式：待估宗地价格=比较案例宗地价格×待估宗地交易情况指数/比较案例交易情况指数×待估宗地估价基准日地价指数/比较案例交易期日地价指数×待估宗地区域因素条件指数/比较案例区域因素条件指数×待估宗地个别因素条件指数/比较</w:t>
      </w:r>
      <w:r>
        <w:rPr>
          <w:rFonts w:hint="default" w:ascii="Times New Roman" w:hAnsi="Times New Roman" w:eastAsia="宋体" w:cs="Times New Roman"/>
          <w:color w:val="auto"/>
          <w:sz w:val="24"/>
          <w:szCs w:val="24"/>
          <w:highlight w:val="none"/>
        </w:rPr>
        <w:t>案例个别因素条件指数。</w:t>
      </w:r>
    </w:p>
    <w:p>
      <w:pPr>
        <w:pStyle w:val="8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成本逼近法是以开发土地所耗费的各项费用之和为主要依据，再加上一定的利润、利息、应缴纳的税金和土地增值收益来确定土地价格的估价方法。其基本计算公式为：</w:t>
      </w:r>
    </w:p>
    <w:p>
      <w:pPr>
        <w:pStyle w:val="8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土地价格＝土地取得费＋相关税费＋土地开发费＋投资利息＋合理利润＋土地增值收益</w:t>
      </w:r>
    </w:p>
    <w:p>
      <w:pPr>
        <w:pStyle w:val="4"/>
        <w:keepNext w:val="0"/>
        <w:keepLines w:val="0"/>
        <w:pageBreakBefore w:val="0"/>
        <w:widowControl/>
        <w:kinsoku/>
        <w:wordWrap/>
        <w:overflowPunct/>
        <w:topLinePunct w:val="0"/>
        <w:autoSpaceDE/>
        <w:autoSpaceDN/>
        <w:bidi w:val="0"/>
        <w:adjustRightInd/>
        <w:snapToGrid/>
        <w:spacing w:before="0" w:line="500" w:lineRule="exact"/>
        <w:ind w:firstLine="482" w:firstLineChars="200"/>
        <w:jc w:val="both"/>
        <w:textAlignment w:val="auto"/>
        <w:rPr>
          <w:rFonts w:hint="default" w:ascii="Times New Roman" w:hAnsi="Times New Roman" w:eastAsia="宋体" w:cs="Times New Roman"/>
          <w:b/>
          <w:sz w:val="24"/>
          <w:szCs w:val="24"/>
        </w:rPr>
      </w:pPr>
      <w:bookmarkStart w:id="20" w:name="_Toc27609"/>
      <w:r>
        <w:rPr>
          <w:rFonts w:hint="default" w:ascii="Times New Roman" w:hAnsi="Times New Roman" w:eastAsia="宋体" w:cs="Times New Roman"/>
          <w:b/>
          <w:sz w:val="24"/>
          <w:szCs w:val="24"/>
        </w:rPr>
        <w:t>十、估价结果</w:t>
      </w:r>
      <w:bookmarkEnd w:id="20"/>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房地产估价师根据《房地产估价规范》、《房地产估价基本术语标准》等法规、技术标准和委托方提供的估价对象的相关资料，遵循房地产估价的必要原则和程序，在认真分析所掌握资料与影响估价对象价值诸因素的基础上，采用适宜方法进行评估，最终确定估价对象在价值时点的价值为：</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市场价值：</w:t>
      </w:r>
      <w:r>
        <w:rPr>
          <w:rFonts w:hint="eastAsia" w:ascii="Times New Roman" w:hAnsi="Times New Roman" w:cs="Times New Roman"/>
          <w:b/>
          <w:bCs/>
          <w:sz w:val="24"/>
          <w:szCs w:val="24"/>
          <w:lang w:eastAsia="zh-CN"/>
        </w:rPr>
        <w:t xml:space="preserve">4,006,343.00 </w:t>
      </w:r>
      <w:r>
        <w:rPr>
          <w:rFonts w:hint="default" w:ascii="Times New Roman" w:hAnsi="Times New Roman" w:cs="Times New Roman"/>
          <w:b/>
          <w:bCs/>
          <w:sz w:val="24"/>
          <w:szCs w:val="24"/>
          <w:lang w:eastAsia="zh-CN"/>
        </w:rPr>
        <w:t>元；</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eastAsia="宋体" w:cs="Times New Roman"/>
          <w:b/>
          <w:bCs/>
          <w:sz w:val="24"/>
          <w:szCs w:val="24"/>
        </w:rPr>
        <w:t>大写</w:t>
      </w:r>
      <w:r>
        <w:rPr>
          <w:rFonts w:hint="default" w:ascii="Times New Roman" w:hAnsi="Times New Roman" w:cs="Times New Roman"/>
          <w:b/>
          <w:bCs/>
          <w:sz w:val="24"/>
          <w:szCs w:val="24"/>
          <w:lang w:eastAsia="zh-CN"/>
        </w:rPr>
        <w:t>（</w:t>
      </w:r>
      <w:r>
        <w:rPr>
          <w:rFonts w:hint="default" w:ascii="Times New Roman" w:hAnsi="Times New Roman" w:eastAsia="宋体" w:cs="Times New Roman"/>
          <w:b/>
          <w:bCs/>
          <w:sz w:val="24"/>
          <w:szCs w:val="24"/>
        </w:rPr>
        <w:t>人民币</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eastAsia="zh-CN"/>
        </w:rPr>
        <w:t>肆佰万陆仟叁佰肆拾叁</w:t>
      </w:r>
      <w:r>
        <w:rPr>
          <w:rFonts w:hint="default" w:ascii="Times New Roman" w:hAnsi="Times New Roman" w:cs="Times New Roman"/>
          <w:b/>
          <w:bCs/>
          <w:sz w:val="24"/>
          <w:szCs w:val="24"/>
          <w:lang w:eastAsia="zh-CN"/>
        </w:rPr>
        <w:t>元整</w:t>
      </w:r>
      <w:r>
        <w:rPr>
          <w:rFonts w:hint="default" w:ascii="Times New Roman" w:hAnsi="Times New Roman" w:eastAsia="宋体" w:cs="Times New Roman"/>
          <w:b/>
          <w:bCs/>
          <w:sz w:val="24"/>
          <w:szCs w:val="24"/>
        </w:rPr>
        <w:t>。</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变现价值：</w:t>
      </w:r>
      <w:r>
        <w:rPr>
          <w:rFonts w:hint="eastAsia" w:ascii="Times New Roman" w:hAnsi="Times New Roman" w:cs="Times New Roman"/>
          <w:b/>
          <w:bCs/>
          <w:sz w:val="24"/>
          <w:szCs w:val="24"/>
          <w:lang w:eastAsia="zh-CN"/>
        </w:rPr>
        <w:t>2,804,440.00</w:t>
      </w:r>
      <w:r>
        <w:rPr>
          <w:rFonts w:hint="default" w:ascii="Times New Roman" w:hAnsi="Times New Roman" w:cs="Times New Roman"/>
          <w:b/>
          <w:bCs/>
          <w:sz w:val="24"/>
          <w:szCs w:val="24"/>
          <w:lang w:eastAsia="zh-CN"/>
        </w:rPr>
        <w:t>元；</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eastAsia="宋体" w:cs="Times New Roman"/>
          <w:b/>
          <w:bCs/>
          <w:sz w:val="24"/>
          <w:szCs w:val="24"/>
        </w:rPr>
        <w:t>大写</w:t>
      </w:r>
      <w:r>
        <w:rPr>
          <w:rFonts w:hint="default" w:ascii="Times New Roman" w:hAnsi="Times New Roman" w:cs="Times New Roman"/>
          <w:b/>
          <w:bCs/>
          <w:sz w:val="24"/>
          <w:szCs w:val="24"/>
          <w:lang w:eastAsia="zh-CN"/>
        </w:rPr>
        <w:t>（</w:t>
      </w:r>
      <w:r>
        <w:rPr>
          <w:rFonts w:hint="default" w:ascii="Times New Roman" w:hAnsi="Times New Roman" w:eastAsia="宋体" w:cs="Times New Roman"/>
          <w:b/>
          <w:bCs/>
          <w:sz w:val="24"/>
          <w:szCs w:val="24"/>
        </w:rPr>
        <w:t>人民币</w:t>
      </w:r>
      <w:r>
        <w:rPr>
          <w:rFonts w:hint="default" w:ascii="Times New Roman" w:hAnsi="Times New Roman" w:cs="Times New Roman"/>
          <w:b/>
          <w:bCs/>
          <w:sz w:val="24"/>
          <w:szCs w:val="24"/>
          <w:lang w:eastAsia="zh-CN"/>
        </w:rPr>
        <w:t>）</w:t>
      </w:r>
      <w:r>
        <w:rPr>
          <w:rFonts w:hint="default" w:ascii="Times New Roman" w:hAnsi="Times New Roman" w:eastAsia="宋体" w:cs="Times New Roman"/>
          <w:b/>
          <w:bCs/>
          <w:sz w:val="24"/>
          <w:szCs w:val="24"/>
        </w:rPr>
        <w:t>：</w:t>
      </w:r>
      <w:r>
        <w:rPr>
          <w:rFonts w:hint="eastAsia" w:ascii="Times New Roman" w:hAnsi="Times New Roman" w:cs="Times New Roman"/>
          <w:b/>
          <w:bCs/>
          <w:sz w:val="24"/>
          <w:szCs w:val="24"/>
          <w:lang w:eastAsia="zh-CN"/>
        </w:rPr>
        <w:t>贰佰捌拾万肆仟肆佰肆拾</w:t>
      </w:r>
      <w:r>
        <w:rPr>
          <w:rFonts w:hint="default" w:ascii="Times New Roman" w:hAnsi="Times New Roman" w:cs="Times New Roman"/>
          <w:b/>
          <w:bCs/>
          <w:sz w:val="24"/>
          <w:szCs w:val="24"/>
          <w:lang w:eastAsia="zh-CN"/>
        </w:rPr>
        <w:t>元整</w:t>
      </w:r>
      <w:r>
        <w:rPr>
          <w:rFonts w:hint="default" w:ascii="Times New Roman" w:hAnsi="Times New Roman" w:eastAsia="宋体" w:cs="Times New Roman"/>
          <w:b/>
          <w:bCs/>
          <w:sz w:val="24"/>
          <w:szCs w:val="24"/>
        </w:rPr>
        <w:t>。</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估价结果详见《估价结果一览表》。</w:t>
      </w:r>
    </w:p>
    <w:p>
      <w:pPr>
        <w:pStyle w:val="4"/>
        <w:keepNext w:val="0"/>
        <w:keepLines w:val="0"/>
        <w:pageBreakBefore w:val="0"/>
        <w:widowControl/>
        <w:kinsoku/>
        <w:wordWrap/>
        <w:overflowPunct/>
        <w:topLinePunct w:val="0"/>
        <w:autoSpaceDE/>
        <w:autoSpaceDN/>
        <w:bidi w:val="0"/>
        <w:adjustRightInd/>
        <w:snapToGrid/>
        <w:spacing w:before="0" w:line="520" w:lineRule="exact"/>
        <w:ind w:firstLine="482" w:firstLineChars="200"/>
        <w:jc w:val="both"/>
        <w:textAlignment w:val="auto"/>
        <w:rPr>
          <w:rFonts w:hint="default" w:ascii="Times New Roman" w:hAnsi="Times New Roman" w:eastAsia="宋体" w:cs="Times New Roman"/>
          <w:b/>
          <w:sz w:val="24"/>
          <w:szCs w:val="24"/>
        </w:rPr>
      </w:pPr>
      <w:bookmarkStart w:id="21" w:name="_Toc5195"/>
      <w:r>
        <w:rPr>
          <w:rFonts w:hint="default" w:ascii="Times New Roman" w:hAnsi="Times New Roman" w:eastAsia="宋体" w:cs="Times New Roman"/>
          <w:b/>
          <w:sz w:val="24"/>
          <w:szCs w:val="24"/>
        </w:rPr>
        <w:t>十一、注册房地产估价师</w:t>
      </w:r>
      <w:bookmarkEnd w:id="21"/>
    </w:p>
    <w:tbl>
      <w:tblPr>
        <w:tblStyle w:val="36"/>
        <w:tblW w:w="5208" w:type="pct"/>
        <w:jc w:val="center"/>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Layout w:type="autofit"/>
        <w:tblCellMar>
          <w:top w:w="0" w:type="dxa"/>
          <w:left w:w="0" w:type="dxa"/>
          <w:bottom w:w="0" w:type="dxa"/>
          <w:right w:w="0" w:type="dxa"/>
        </w:tblCellMar>
      </w:tblPr>
      <w:tblGrid>
        <w:gridCol w:w="2125"/>
        <w:gridCol w:w="2149"/>
        <w:gridCol w:w="2456"/>
        <w:gridCol w:w="2632"/>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0" w:type="dxa"/>
            <w:bottom w:w="0" w:type="dxa"/>
            <w:right w:w="0" w:type="dxa"/>
          </w:tblCellMar>
        </w:tblPrEx>
        <w:trPr>
          <w:trHeight w:val="656" w:hRule="atLeast"/>
          <w:jc w:val="center"/>
        </w:trPr>
        <w:tc>
          <w:tcPr>
            <w:tcW w:w="11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rPr>
              <w:t>估价师</w:t>
            </w:r>
          </w:p>
        </w:tc>
        <w:tc>
          <w:tcPr>
            <w:tcW w:w="1147"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rPr>
              <w:t>注册号</w:t>
            </w:r>
          </w:p>
        </w:tc>
        <w:tc>
          <w:tcPr>
            <w:tcW w:w="1311"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rPr>
              <w:t>签名</w:t>
            </w:r>
          </w:p>
        </w:tc>
        <w:tc>
          <w:tcPr>
            <w:tcW w:w="140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rPr>
              <w:t>签名日期</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0" w:type="dxa"/>
            <w:bottom w:w="0" w:type="dxa"/>
            <w:right w:w="0" w:type="dxa"/>
          </w:tblCellMar>
        </w:tblPrEx>
        <w:trPr>
          <w:trHeight w:val="1342" w:hRule="atLeast"/>
          <w:jc w:val="center"/>
        </w:trPr>
        <w:tc>
          <w:tcPr>
            <w:tcW w:w="11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展焕强</w:t>
            </w:r>
          </w:p>
        </w:tc>
        <w:tc>
          <w:tcPr>
            <w:tcW w:w="1147"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3720040158</w:t>
            </w:r>
          </w:p>
        </w:tc>
        <w:tc>
          <w:tcPr>
            <w:tcW w:w="1311" w:type="pct"/>
            <w:tcBorders>
              <w:tl2br w:val="nil"/>
              <w:tr2bl w:val="nil"/>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140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rPr>
              <w:t>2022年10月13日</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0" w:type="dxa"/>
            <w:bottom w:w="0" w:type="dxa"/>
            <w:right w:w="0" w:type="dxa"/>
          </w:tblCellMar>
        </w:tblPrEx>
        <w:trPr>
          <w:trHeight w:val="1426" w:hRule="atLeast"/>
          <w:jc w:val="center"/>
        </w:trPr>
        <w:tc>
          <w:tcPr>
            <w:tcW w:w="11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韩东华</w:t>
            </w:r>
          </w:p>
        </w:tc>
        <w:tc>
          <w:tcPr>
            <w:tcW w:w="1147"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3720170088</w:t>
            </w:r>
          </w:p>
        </w:tc>
        <w:tc>
          <w:tcPr>
            <w:tcW w:w="1311" w:type="pct"/>
            <w:tcBorders>
              <w:tl2br w:val="nil"/>
              <w:tr2bl w:val="nil"/>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140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rPr>
              <w:t>2022年10月13日</w:t>
            </w:r>
          </w:p>
        </w:tc>
      </w:tr>
    </w:tbl>
    <w:p>
      <w:pPr>
        <w:pStyle w:val="4"/>
        <w:keepNext w:val="0"/>
        <w:keepLines w:val="0"/>
        <w:pageBreakBefore w:val="0"/>
        <w:widowControl/>
        <w:numPr>
          <w:ilvl w:val="0"/>
          <w:numId w:val="8"/>
        </w:numPr>
        <w:kinsoku/>
        <w:wordWrap/>
        <w:overflowPunct/>
        <w:topLinePunct w:val="0"/>
        <w:autoSpaceDE/>
        <w:autoSpaceDN/>
        <w:bidi w:val="0"/>
        <w:adjustRightInd/>
        <w:snapToGrid/>
        <w:spacing w:before="0" w:after="0" w:line="52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估价作业期</w:t>
      </w:r>
    </w:p>
    <w:p>
      <w:pPr>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ind w:leftChars="0" w:firstLine="480" w:firstLineChars="200"/>
        <w:jc w:val="both"/>
        <w:textAlignment w:val="auto"/>
        <w:outlineLvl w:val="9"/>
        <w:rPr>
          <w:rFonts w:hint="default" w:ascii="Times New Roman" w:hAnsi="Times New Roman" w:eastAsia="宋体" w:cs="Times New Roman"/>
          <w:bCs/>
          <w:color w:val="000000"/>
          <w:sz w:val="24"/>
          <w:szCs w:val="24"/>
        </w:rPr>
      </w:pPr>
      <w:bookmarkStart w:id="22" w:name="_Toc26763"/>
      <w:r>
        <w:rPr>
          <w:rFonts w:hint="eastAsia" w:ascii="Times New Roman" w:hAnsi="Times New Roman" w:cs="Times New Roman"/>
          <w:bCs/>
          <w:sz w:val="24"/>
          <w:szCs w:val="24"/>
          <w:lang w:eastAsia="zh-CN"/>
        </w:rPr>
        <w:t>2022年9月30日</w:t>
      </w:r>
      <w:r>
        <w:rPr>
          <w:rFonts w:hint="default" w:ascii="Times New Roman" w:hAnsi="Times New Roman" w:eastAsia="宋体" w:cs="Times New Roman"/>
          <w:bCs/>
          <w:color w:val="000000"/>
          <w:sz w:val="24"/>
          <w:szCs w:val="24"/>
        </w:rPr>
        <w:t>至</w:t>
      </w:r>
      <w:r>
        <w:rPr>
          <w:rFonts w:hint="eastAsia" w:ascii="Times New Roman" w:hAnsi="Times New Roman" w:cs="Times New Roman"/>
          <w:bCs/>
          <w:color w:val="000000"/>
          <w:sz w:val="24"/>
          <w:szCs w:val="24"/>
          <w:lang w:eastAsia="zh-CN"/>
        </w:rPr>
        <w:t>2022年10月13日</w:t>
      </w:r>
      <w:r>
        <w:rPr>
          <w:rFonts w:hint="default" w:ascii="Times New Roman" w:hAnsi="Times New Roman" w:eastAsia="宋体" w:cs="Times New Roman"/>
          <w:bCs/>
          <w:color w:val="000000"/>
          <w:sz w:val="24"/>
          <w:szCs w:val="24"/>
        </w:rPr>
        <w:t>。</w:t>
      </w:r>
    </w:p>
    <w:bookmarkEnd w:id="22"/>
    <w:p>
      <w:pPr>
        <w:pStyle w:val="4"/>
        <w:keepNext w:val="0"/>
        <w:keepLines w:val="0"/>
        <w:pageBreakBefore w:val="0"/>
        <w:widowControl/>
        <w:numPr>
          <w:ilvl w:val="0"/>
          <w:numId w:val="8"/>
        </w:numPr>
        <w:kinsoku/>
        <w:wordWrap/>
        <w:overflowPunct/>
        <w:topLinePunct w:val="0"/>
        <w:autoSpaceDE/>
        <w:autoSpaceDN/>
        <w:bidi w:val="0"/>
        <w:adjustRightInd/>
        <w:snapToGrid/>
        <w:spacing w:before="0" w:after="0" w:line="520" w:lineRule="exact"/>
        <w:ind w:firstLine="482" w:firstLineChars="200"/>
        <w:jc w:val="both"/>
        <w:textAlignment w:val="auto"/>
        <w:rPr>
          <w:rFonts w:hint="default" w:ascii="Times New Roman" w:hAnsi="Times New Roman" w:eastAsia="宋体" w:cs="Times New Roman"/>
          <w:b/>
          <w:sz w:val="24"/>
          <w:szCs w:val="24"/>
        </w:rPr>
      </w:pPr>
      <w:bookmarkStart w:id="23" w:name="_Toc22692"/>
      <w:r>
        <w:rPr>
          <w:rFonts w:hint="default" w:ascii="Times New Roman" w:hAnsi="Times New Roman" w:eastAsia="宋体" w:cs="Times New Roman"/>
          <w:b/>
          <w:sz w:val="24"/>
          <w:szCs w:val="24"/>
        </w:rPr>
        <w:t>估价报告应用的有效期</w:t>
      </w:r>
      <w:bookmarkEnd w:id="23"/>
    </w:p>
    <w:p>
      <w:pPr>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ind w:leftChars="0" w:firstLine="480" w:firstLineChars="200"/>
        <w:jc w:val="both"/>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本估价报告应用的有效期，自出具报告之日起</w:t>
      </w:r>
      <w:r>
        <w:rPr>
          <w:rFonts w:hint="default" w:ascii="Times New Roman" w:hAnsi="Times New Roman" w:eastAsia="宋体" w:cs="Times New Roman"/>
          <w:bCs/>
          <w:color w:val="000000"/>
          <w:sz w:val="24"/>
          <w:szCs w:val="24"/>
        </w:rPr>
        <w:fldChar w:fldCharType="begin"/>
      </w:r>
      <w:r>
        <w:rPr>
          <w:rFonts w:hint="default" w:ascii="Times New Roman" w:hAnsi="Times New Roman" w:eastAsia="宋体" w:cs="Times New Roman"/>
          <w:bCs/>
          <w:color w:val="000000"/>
          <w:sz w:val="24"/>
          <w:szCs w:val="24"/>
        </w:rPr>
        <w:instrText xml:space="preserve"> = 1 \* CHINESENUM2 </w:instrText>
      </w:r>
      <w:r>
        <w:rPr>
          <w:rFonts w:hint="default" w:ascii="Times New Roman" w:hAnsi="Times New Roman" w:eastAsia="宋体" w:cs="Times New Roman"/>
          <w:bCs/>
          <w:color w:val="000000"/>
          <w:sz w:val="24"/>
          <w:szCs w:val="24"/>
        </w:rPr>
        <w:fldChar w:fldCharType="separate"/>
      </w:r>
      <w:r>
        <w:rPr>
          <w:rFonts w:hint="default" w:ascii="Times New Roman" w:hAnsi="Times New Roman" w:eastAsia="宋体" w:cs="Times New Roman"/>
          <w:bCs/>
          <w:color w:val="000000"/>
          <w:sz w:val="24"/>
          <w:szCs w:val="24"/>
        </w:rPr>
        <w:t>壹</w:t>
      </w:r>
      <w:r>
        <w:rPr>
          <w:rFonts w:hint="default" w:ascii="Times New Roman" w:hAnsi="Times New Roman" w:eastAsia="宋体" w:cs="Times New Roman"/>
          <w:bCs/>
          <w:color w:val="000000"/>
          <w:sz w:val="24"/>
          <w:szCs w:val="24"/>
        </w:rPr>
        <w:fldChar w:fldCharType="end"/>
      </w:r>
      <w:r>
        <w:rPr>
          <w:rFonts w:hint="default" w:ascii="Times New Roman" w:hAnsi="Times New Roman" w:eastAsia="宋体" w:cs="Times New Roman"/>
          <w:bCs/>
          <w:color w:val="000000"/>
          <w:sz w:val="24"/>
          <w:szCs w:val="24"/>
        </w:rPr>
        <w:t>年内有效（即有效期为</w:t>
      </w:r>
      <w:r>
        <w:rPr>
          <w:rFonts w:hint="eastAsia" w:ascii="Times New Roman" w:hAnsi="Times New Roman" w:cs="Times New Roman"/>
          <w:bCs/>
          <w:color w:val="000000"/>
          <w:sz w:val="24"/>
          <w:szCs w:val="24"/>
          <w:lang w:eastAsia="zh-CN"/>
        </w:rPr>
        <w:t>2022年10月13日</w:t>
      </w:r>
      <w:r>
        <w:rPr>
          <w:rFonts w:hint="default" w:ascii="Times New Roman" w:hAnsi="Times New Roman" w:eastAsia="宋体" w:cs="Times New Roman"/>
          <w:bCs/>
          <w:color w:val="000000"/>
          <w:sz w:val="24"/>
          <w:szCs w:val="24"/>
        </w:rPr>
        <w:t>至</w:t>
      </w:r>
      <w:r>
        <w:rPr>
          <w:rFonts w:hint="eastAsia" w:ascii="Times New Roman" w:hAnsi="Times New Roman" w:cs="Times New Roman"/>
          <w:bCs/>
          <w:color w:val="000000"/>
          <w:sz w:val="24"/>
          <w:szCs w:val="24"/>
          <w:lang w:eastAsia="zh-CN"/>
        </w:rPr>
        <w:t>2023年10月12日</w:t>
      </w:r>
      <w:r>
        <w:rPr>
          <w:rFonts w:hint="default" w:ascii="Times New Roman" w:hAnsi="Times New Roman" w:eastAsia="宋体" w:cs="Times New Roman"/>
          <w:bCs/>
          <w:color w:val="000000"/>
          <w:sz w:val="24"/>
          <w:szCs w:val="24"/>
        </w:rPr>
        <w:t>）。</w:t>
      </w:r>
    </w:p>
    <w:p>
      <w:pPr>
        <w:pStyle w:val="13"/>
        <w:rPr>
          <w:rFonts w:hint="default" w:ascii="Times New Roman" w:hAnsi="Times New Roman" w:eastAsia="宋体" w:cs="Times New Roman"/>
          <w:bCs/>
          <w:color w:val="00000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ind w:leftChars="0" w:firstLine="480" w:firstLineChars="200"/>
        <w:jc w:val="both"/>
        <w:textAlignment w:val="auto"/>
        <w:outlineLvl w:val="9"/>
        <w:rPr>
          <w:rFonts w:hint="default" w:ascii="Times New Roman" w:hAnsi="Times New Roman" w:eastAsia="宋体" w:cs="Times New Roman"/>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240" w:lineRule="atLeast"/>
        <w:ind w:right="0" w:firstLine="4440" w:firstLineChars="185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山东舜华房地产评估造价咨询有限公司</w:t>
      </w:r>
    </w:p>
    <w:p>
      <w:pPr>
        <w:keepNext w:val="0"/>
        <w:keepLines w:val="0"/>
        <w:pageBreakBefore w:val="0"/>
        <w:widowControl/>
        <w:kinsoku/>
        <w:wordWrap/>
        <w:overflowPunct/>
        <w:topLinePunct w:val="0"/>
        <w:autoSpaceDE/>
        <w:autoSpaceDN/>
        <w:bidi w:val="0"/>
        <w:adjustRightInd/>
        <w:snapToGrid/>
        <w:spacing w:after="0" w:line="240" w:lineRule="atLeast"/>
        <w:ind w:right="0"/>
        <w:jc w:val="both"/>
        <w:textAlignment w:val="auto"/>
        <w:rPr>
          <w:rFonts w:hint="default" w:ascii="Times New Roman" w:hAnsi="Times New Roman" w:cs="Times New Roman"/>
          <w:sz w:val="24"/>
          <w:szCs w:val="24"/>
          <w:lang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二○二二年十月十三</w:t>
      </w:r>
      <w:r>
        <w:rPr>
          <w:rFonts w:hint="default" w:ascii="Times New Roman" w:hAnsi="Times New Roman" w:cs="Times New Roman"/>
          <w:sz w:val="24"/>
          <w:szCs w:val="24"/>
          <w:lang w:eastAsia="zh-CN"/>
        </w:rPr>
        <w:t>日</w:t>
      </w:r>
    </w:p>
    <w:p>
      <w:pPr>
        <w:pStyle w:val="13"/>
        <w:rPr>
          <w:rFonts w:hint="default" w:ascii="Times New Roman" w:hAnsi="Times New Roman" w:cs="Times New Roman"/>
          <w:lang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outlineLvl w:val="0"/>
        <w:rPr>
          <w:rFonts w:hint="default" w:ascii="Times New Roman" w:hAnsi="Times New Roman" w:eastAsia="宋体" w:cs="Times New Roman"/>
          <w:b/>
          <w:sz w:val="32"/>
          <w:szCs w:val="32"/>
        </w:rPr>
      </w:pPr>
      <w:bookmarkStart w:id="24" w:name="_Toc26526"/>
      <w:r>
        <w:rPr>
          <w:rFonts w:hint="default" w:ascii="Times New Roman" w:hAnsi="Times New Roman" w:eastAsia="宋体" w:cs="Times New Roman"/>
          <w:b/>
          <w:sz w:val="32"/>
          <w:szCs w:val="32"/>
        </w:rPr>
        <w:t>变现能力分析及潜在风险披露</w:t>
      </w:r>
      <w:bookmarkEnd w:id="24"/>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一、变现能力的概念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变现能力，是指假定在价值时点实现时,在没有过多损失的条件下,将房地产转换为现金的可能性。 </w:t>
      </w:r>
    </w:p>
    <w:p>
      <w:pPr>
        <w:keepNext w:val="0"/>
        <w:keepLines w:val="0"/>
        <w:pageBreakBefore w:val="0"/>
        <w:widowControl/>
        <w:numPr>
          <w:ilvl w:val="0"/>
          <w:numId w:val="9"/>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影响变现能力的主要因素 </w:t>
      </w:r>
    </w:p>
    <w:p>
      <w:pPr>
        <w:keepNext w:val="0"/>
        <w:keepLines w:val="0"/>
        <w:pageBreakBefore w:val="0"/>
        <w:widowControl/>
        <w:numPr>
          <w:ilvl w:val="0"/>
          <w:numId w:val="10"/>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房地产的通用性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所谓通用性，是指该房地产是否常见、是否被普遍使用，也就是有效需求数量的多与少。</w:t>
      </w:r>
    </w:p>
    <w:p>
      <w:pPr>
        <w:keepNext w:val="0"/>
        <w:keepLines w:val="0"/>
        <w:pageBreakBefore w:val="0"/>
        <w:widowControl/>
        <w:numPr>
          <w:ilvl w:val="0"/>
          <w:numId w:val="11"/>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用途的专业化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估价对象为</w:t>
      </w:r>
      <w:r>
        <w:rPr>
          <w:rFonts w:hint="default" w:ascii="Times New Roman" w:hAnsi="Times New Roman" w:eastAsia="宋体" w:cs="Times New Roman"/>
          <w:sz w:val="24"/>
          <w:szCs w:val="24"/>
          <w:lang w:eastAsia="zh-CN"/>
        </w:rPr>
        <w:t>拟</w:t>
      </w:r>
      <w:r>
        <w:rPr>
          <w:rFonts w:hint="default" w:ascii="Times New Roman" w:hAnsi="Times New Roman" w:cs="Times New Roman"/>
          <w:sz w:val="24"/>
          <w:szCs w:val="24"/>
          <w:lang w:eastAsia="zh-CN"/>
        </w:rPr>
        <w:t>处置</w:t>
      </w:r>
      <w:r>
        <w:rPr>
          <w:rFonts w:hint="eastAsia" w:ascii="Times New Roman" w:hAnsi="Times New Roman" w:cs="Times New Roman"/>
          <w:sz w:val="24"/>
          <w:szCs w:val="24"/>
          <w:lang w:eastAsia="zh-CN"/>
        </w:rPr>
        <w:t>烟台市永旺钢材城有限责任公司不良债权涉</w:t>
      </w:r>
      <w:r>
        <w:rPr>
          <w:rFonts w:hint="default" w:ascii="Times New Roman" w:hAnsi="Times New Roman" w:cs="Times New Roman"/>
          <w:sz w:val="24"/>
          <w:szCs w:val="24"/>
          <w:lang w:eastAsia="zh-CN"/>
        </w:rPr>
        <w:t>及的房产和土地使用权</w:t>
      </w:r>
      <w:r>
        <w:rPr>
          <w:rFonts w:hint="default" w:ascii="Times New Roman" w:hAnsi="Times New Roman" w:eastAsia="宋体" w:cs="Times New Roman"/>
          <w:bCs/>
          <w:color w:val="000000"/>
          <w:sz w:val="24"/>
          <w:szCs w:val="24"/>
        </w:rPr>
        <w:t>，</w:t>
      </w:r>
      <w:r>
        <w:rPr>
          <w:rFonts w:hint="default" w:ascii="Times New Roman" w:hAnsi="Times New Roman" w:cs="Times New Roman"/>
        </w:rPr>
        <w:t>作为特殊行业，</w:t>
      </w:r>
      <w:r>
        <w:rPr>
          <w:rFonts w:hint="default" w:ascii="Times New Roman" w:hAnsi="Times New Roman" w:eastAsia="宋体" w:cs="Times New Roman"/>
          <w:bCs/>
          <w:color w:val="000000"/>
          <w:sz w:val="24"/>
          <w:szCs w:val="24"/>
        </w:rPr>
        <w:t xml:space="preserve">使用者的范围较少，短时间内不容易快速找到买家，变现能力一般。 </w:t>
      </w:r>
    </w:p>
    <w:p>
      <w:pPr>
        <w:keepNext w:val="0"/>
        <w:keepLines w:val="0"/>
        <w:pageBreakBefore w:val="0"/>
        <w:widowControl/>
        <w:numPr>
          <w:ilvl w:val="0"/>
          <w:numId w:val="11"/>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结构质式与房屋质量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从结构上说，砖混结构的变现能力不如钢混结构；从质量上说，房屋质量差的不如质量好的，成新率差的不如成新率好的。 </w:t>
      </w:r>
    </w:p>
    <w:p>
      <w:pPr>
        <w:keepNext w:val="0"/>
        <w:keepLines w:val="0"/>
        <w:pageBreakBefore w:val="0"/>
        <w:widowControl/>
        <w:numPr>
          <w:ilvl w:val="0"/>
          <w:numId w:val="11"/>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房地产的价值大小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一般说，价值越大的房地产，所需的资金越多，越不容易找到买家，其变现能力就越弱。 </w:t>
      </w:r>
    </w:p>
    <w:p>
      <w:pPr>
        <w:keepNext w:val="0"/>
        <w:keepLines w:val="0"/>
        <w:pageBreakBefore w:val="0"/>
        <w:widowControl/>
        <w:numPr>
          <w:ilvl w:val="0"/>
          <w:numId w:val="11"/>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区位条件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所处区位越偏僻、越不成熟的区域房地产，变现能力越弱。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例如：郊区的房地产比市区房地产变现能力弱，商圈外的商业用房比商圈内的商业用房变现能力弱。</w:t>
      </w:r>
    </w:p>
    <w:p>
      <w:pPr>
        <w:keepNext w:val="0"/>
        <w:keepLines w:val="0"/>
        <w:pageBreakBefore w:val="0"/>
        <w:widowControl/>
        <w:numPr>
          <w:ilvl w:val="0"/>
          <w:numId w:val="11"/>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该类房地产市场状况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房地产市场越不景气，出售房地产越困难，其变现能力也就越弱。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例如：市场萧条时期比市场繁荣时期的房地产变现能力弱。</w:t>
      </w:r>
    </w:p>
    <w:p>
      <w:pPr>
        <w:keepNext w:val="0"/>
        <w:keepLines w:val="0"/>
        <w:pageBreakBefore w:val="0"/>
        <w:widowControl/>
        <w:numPr>
          <w:ilvl w:val="0"/>
          <w:numId w:val="10"/>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独立使用性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所谓独立使用性，通俗的说就是能否单独地使用而不受限制。一般说，独立使用性越差的房地产，越妨碍房地产的使用，其变现能力也就越弱。</w:t>
      </w:r>
    </w:p>
    <w:p>
      <w:pPr>
        <w:keepNext w:val="0"/>
        <w:keepLines w:val="0"/>
        <w:pageBreakBefore w:val="0"/>
        <w:widowControl/>
        <w:numPr>
          <w:ilvl w:val="0"/>
          <w:numId w:val="10"/>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房地产可分割转让性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所谓可分割转让性，是指物理上、经济上是否可以分离开来使用的房地产。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由于房地产价值大的其变现能力弱，如果容易分割转让的房地产，其变现能力相对较强。 </w:t>
      </w:r>
    </w:p>
    <w:p>
      <w:pPr>
        <w:keepNext w:val="0"/>
        <w:keepLines w:val="0"/>
        <w:pageBreakBefore w:val="0"/>
        <w:widowControl/>
        <w:numPr>
          <w:ilvl w:val="0"/>
          <w:numId w:val="9"/>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预测变卖时最可能实现的价格与评估的市场价值的差异程度</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首先必须明确这种可实现的价格与评估的市场价值的差异程度是指在“价值时点”，而且是“拍卖或变卖”的情形。这种差异程度主要取决于：市场状况、短期强制处分、购买群体的心理排斥等因素的影响，其最可能实现的价格肯定比评估的市场价值（是指合理的市场价值）要低。</w:t>
      </w:r>
    </w:p>
    <w:p>
      <w:pPr>
        <w:keepNext w:val="0"/>
        <w:keepLines w:val="0"/>
        <w:pageBreakBefore w:val="0"/>
        <w:widowControl/>
        <w:numPr>
          <w:ilvl w:val="0"/>
          <w:numId w:val="9"/>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清偿顺序。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一般认为清偿顺序为：</w:t>
      </w:r>
    </w:p>
    <w:p>
      <w:pPr>
        <w:keepNext w:val="0"/>
        <w:keepLines w:val="0"/>
        <w:pageBreakBefore w:val="0"/>
        <w:widowControl/>
        <w:numPr>
          <w:ilvl w:val="0"/>
          <w:numId w:val="12"/>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cs="Times New Roman"/>
          <w:bCs/>
          <w:color w:val="000000"/>
          <w:sz w:val="24"/>
          <w:szCs w:val="24"/>
          <w:lang w:val="en-US" w:eastAsia="zh-CN"/>
        </w:rPr>
      </w:pPr>
      <w:r>
        <w:rPr>
          <w:rFonts w:hint="default" w:ascii="Times New Roman" w:hAnsi="Times New Roman" w:eastAsia="宋体" w:cs="Times New Roman"/>
          <w:bCs/>
          <w:color w:val="000000"/>
          <w:sz w:val="24"/>
          <w:szCs w:val="24"/>
        </w:rPr>
        <w:t>支付处置费用和佣金</w:t>
      </w:r>
      <w:r>
        <w:rPr>
          <w:rFonts w:hint="default" w:ascii="Times New Roman" w:hAnsi="Times New Roman" w:cs="Times New Roman"/>
          <w:bCs/>
          <w:color w:val="000000"/>
          <w:sz w:val="24"/>
          <w:szCs w:val="24"/>
          <w:lang w:val="en-US" w:eastAsia="zh-CN"/>
        </w:rPr>
        <w:t>;</w:t>
      </w:r>
    </w:p>
    <w:p>
      <w:pPr>
        <w:keepNext w:val="0"/>
        <w:keepLines w:val="0"/>
        <w:pageBreakBefore w:val="0"/>
        <w:widowControl/>
        <w:numPr>
          <w:ilvl w:val="0"/>
          <w:numId w:val="12"/>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rPr>
        <w:t>偿还法定优先授偿款</w:t>
      </w:r>
      <w:r>
        <w:rPr>
          <w:rFonts w:hint="default" w:ascii="Times New Roman" w:hAnsi="Times New Roman" w:eastAsia="宋体" w:cs="Times New Roman"/>
          <w:bCs/>
          <w:color w:val="000000"/>
          <w:sz w:val="24"/>
          <w:szCs w:val="24"/>
          <w:lang w:val="en-US" w:eastAsia="zh-CN"/>
        </w:rPr>
        <w:t>;</w:t>
      </w:r>
    </w:p>
    <w:p>
      <w:pPr>
        <w:keepNext w:val="0"/>
        <w:keepLines w:val="0"/>
        <w:pageBreakBefore w:val="0"/>
        <w:widowControl/>
        <w:numPr>
          <w:ilvl w:val="0"/>
          <w:numId w:val="12"/>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rPr>
        <w:t>偿还抵押权人（或债权人）的债权本息及违约金</w:t>
      </w:r>
      <w:r>
        <w:rPr>
          <w:rFonts w:hint="default" w:ascii="Times New Roman" w:hAnsi="Times New Roman" w:eastAsia="宋体" w:cs="Times New Roman"/>
          <w:bCs/>
          <w:color w:val="000000"/>
          <w:sz w:val="24"/>
          <w:szCs w:val="24"/>
          <w:lang w:val="en-US" w:eastAsia="zh-CN"/>
        </w:rPr>
        <w:t>;</w:t>
      </w:r>
    </w:p>
    <w:p>
      <w:pPr>
        <w:keepNext w:val="0"/>
        <w:keepLines w:val="0"/>
        <w:pageBreakBefore w:val="0"/>
        <w:widowControl/>
        <w:numPr>
          <w:ilvl w:val="0"/>
          <w:numId w:val="12"/>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余款交委托人（或抵押人）。</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根据〈城市房地产抵押管理办法&gt;第四十七条处分抵押房地产所得金额，依下列顺序分配：</w:t>
      </w:r>
    </w:p>
    <w:p>
      <w:pPr>
        <w:keepNext w:val="0"/>
        <w:keepLines w:val="0"/>
        <w:pageBreakBefore w:val="0"/>
        <w:widowControl/>
        <w:numPr>
          <w:ilvl w:val="0"/>
          <w:numId w:val="13"/>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支付处分抵押物的费用，如受理费、申请执行费、勘验、鉴定、评估、拍卖、契税、登记费等支出费用；</w:t>
      </w:r>
    </w:p>
    <w:p>
      <w:pPr>
        <w:keepNext w:val="0"/>
        <w:keepLines w:val="0"/>
        <w:pageBreakBefore w:val="0"/>
        <w:widowControl/>
        <w:numPr>
          <w:ilvl w:val="0"/>
          <w:numId w:val="13"/>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扣除抵押物应缴纳的税费，如补缴土地出让金、增值税、所得税、过户登记费等；</w:t>
      </w:r>
    </w:p>
    <w:p>
      <w:pPr>
        <w:keepNext w:val="0"/>
        <w:keepLines w:val="0"/>
        <w:pageBreakBefore w:val="0"/>
        <w:widowControl/>
        <w:numPr>
          <w:ilvl w:val="0"/>
          <w:numId w:val="13"/>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偿还抵押权人债权本金、利息及支付违约金；</w:t>
      </w:r>
    </w:p>
    <w:p>
      <w:pPr>
        <w:keepNext w:val="0"/>
        <w:keepLines w:val="0"/>
        <w:pageBreakBefore w:val="0"/>
        <w:widowControl/>
        <w:numPr>
          <w:ilvl w:val="0"/>
          <w:numId w:val="13"/>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赔偿由债务人违反合同而对抵押权人造成的损失或赔偿金；</w:t>
      </w:r>
    </w:p>
    <w:p>
      <w:pPr>
        <w:keepNext w:val="0"/>
        <w:keepLines w:val="0"/>
        <w:pageBreakBefore w:val="0"/>
        <w:widowControl/>
        <w:numPr>
          <w:ilvl w:val="0"/>
          <w:numId w:val="13"/>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剩余金额交还抵押人。</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由此可见需扣除前两项费用后才可偿还抵押权人的债权，为了抵押权人债权的安全，前两项费用对抵押价值和处置价值的影响应予以考虑。</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此外，房地产抵押的优先受偿款包括：划拨土地使用权应缴纳的土地使用权出让金、发包人拖欠承包人的建筑工程价款、已抵押担保债权数额等（但不包含强制执行费用），以及其他法定优先受偿款。依据物权法第一百九十九条，同一财产向两个以上债权人抵押的，拍卖、变卖抵押财产所得的价款依照下列规定清偿：</w:t>
      </w:r>
    </w:p>
    <w:p>
      <w:pPr>
        <w:keepNext w:val="0"/>
        <w:keepLines w:val="0"/>
        <w:pageBreakBefore w:val="0"/>
        <w:widowControl/>
        <w:numPr>
          <w:ilvl w:val="0"/>
          <w:numId w:val="14"/>
        </w:numPr>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抵押权已登记的，按照登记的先后顺序清偿;顺序相同的，按照债权比例清偿;</w:t>
      </w:r>
    </w:p>
    <w:p>
      <w:pPr>
        <w:keepNext w:val="0"/>
        <w:keepLines w:val="0"/>
        <w:pageBreakBefore w:val="0"/>
        <w:widowControl/>
        <w:numPr>
          <w:ilvl w:val="0"/>
          <w:numId w:val="14"/>
        </w:numPr>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抵押权已登记的先于未登记的受偿;</w:t>
      </w:r>
    </w:p>
    <w:p>
      <w:pPr>
        <w:keepNext w:val="0"/>
        <w:keepLines w:val="0"/>
        <w:pageBreakBefore w:val="0"/>
        <w:widowControl/>
        <w:numPr>
          <w:ilvl w:val="0"/>
          <w:numId w:val="14"/>
        </w:numPr>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抵押权未登记的，按照债权比例清偿。</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综上所述，委估对象主要为</w:t>
      </w:r>
      <w:r>
        <w:rPr>
          <w:rFonts w:hint="default" w:ascii="Times New Roman" w:hAnsi="Times New Roman" w:eastAsia="宋体" w:cs="Times New Roman"/>
          <w:sz w:val="24"/>
          <w:szCs w:val="24"/>
          <w:lang w:eastAsia="zh-CN"/>
        </w:rPr>
        <w:t>拟</w:t>
      </w:r>
      <w:r>
        <w:rPr>
          <w:rFonts w:hint="default" w:ascii="Times New Roman" w:hAnsi="Times New Roman" w:cs="Times New Roman"/>
          <w:sz w:val="24"/>
          <w:szCs w:val="24"/>
          <w:lang w:eastAsia="zh-CN"/>
        </w:rPr>
        <w:t>处置</w:t>
      </w:r>
      <w:r>
        <w:rPr>
          <w:rFonts w:hint="eastAsia" w:ascii="Times New Roman" w:hAnsi="Times New Roman" w:cs="Times New Roman"/>
          <w:sz w:val="24"/>
          <w:szCs w:val="24"/>
          <w:lang w:eastAsia="zh-CN"/>
        </w:rPr>
        <w:t>烟台市永旺钢材城有限责任公司不良债权涉</w:t>
      </w:r>
      <w:r>
        <w:rPr>
          <w:rFonts w:hint="default" w:ascii="Times New Roman" w:hAnsi="Times New Roman" w:eastAsia="宋体" w:cs="Times New Roman"/>
          <w:sz w:val="24"/>
          <w:szCs w:val="24"/>
          <w:lang w:eastAsia="zh-CN"/>
        </w:rPr>
        <w:t>及的</w:t>
      </w:r>
      <w:r>
        <w:rPr>
          <w:rFonts w:hint="default" w:ascii="Times New Roman" w:hAnsi="Times New Roman" w:cs="Times New Roman"/>
          <w:lang w:eastAsia="zh-CN"/>
        </w:rPr>
        <w:t>已</w:t>
      </w:r>
      <w:r>
        <w:rPr>
          <w:rFonts w:hint="default" w:ascii="Times New Roman" w:hAnsi="Times New Roman" w:eastAsia="宋体" w:cs="Times New Roman"/>
          <w:bCs/>
          <w:color w:val="000000"/>
          <w:sz w:val="24"/>
          <w:szCs w:val="24"/>
        </w:rPr>
        <w:t>抵押的房地产、土地，使用者的范围较少短时间内不容易快速找到买家，变现能力一般。</w:t>
      </w:r>
    </w:p>
    <w:p>
      <w:pPr>
        <w:keepNext w:val="0"/>
        <w:keepLines w:val="0"/>
        <w:pageBreakBefore w:val="0"/>
        <w:widowControl/>
        <w:numPr>
          <w:ilvl w:val="0"/>
          <w:numId w:val="9"/>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潜在风险的披露：</w:t>
      </w:r>
    </w:p>
    <w:p>
      <w:pPr>
        <w:keepNext w:val="0"/>
        <w:keepLines w:val="0"/>
        <w:pageBreakBefore w:val="0"/>
        <w:widowControl/>
        <w:numPr>
          <w:ilvl w:val="0"/>
          <w:numId w:val="15"/>
        </w:numPr>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抵押房地产本身的风险： </w:t>
      </w:r>
    </w:p>
    <w:p>
      <w:pPr>
        <w:keepNext w:val="0"/>
        <w:keepLines w:val="0"/>
        <w:pageBreakBefore w:val="0"/>
        <w:widowControl/>
        <w:numPr>
          <w:ilvl w:val="0"/>
          <w:numId w:val="16"/>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适应性风险。并不是所有的房地产都适合作为抵押物，它受到与抵押相关法律法规限制。作为担保物的房地产必须具有合法性，房地产权利人可享有的处分和收益权、可转让性、可抵押登记生效的基本条件，成为可以抵押的房地产。</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估价对象至价值时点，已取得房屋所有权证，证件合法，估价对象不存在适应性风险。根据国家相关规定，如果存在欠缴土地出让金不予颁发房屋所有权证等证书，估价师按现行规定，视其已缴纳全部土地出让金，未调查土地使用权是否存在欠缴土地出让金情况。</w:t>
      </w:r>
    </w:p>
    <w:p>
      <w:pPr>
        <w:keepNext w:val="0"/>
        <w:keepLines w:val="0"/>
        <w:pageBreakBefore w:val="0"/>
        <w:widowControl/>
        <w:numPr>
          <w:ilvl w:val="0"/>
          <w:numId w:val="16"/>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预期风险。房地产抵押价值评估是特定价值时点的市场价值扣减法定优先受偿款项，但抵押期限都较长，在这期间房地产市场变动或泡沫破裂造成市场价值下降就会形成预期风险。</w:t>
      </w:r>
    </w:p>
    <w:p>
      <w:pPr>
        <w:keepNext w:val="0"/>
        <w:keepLines w:val="0"/>
        <w:pageBreakBefore w:val="0"/>
        <w:widowControl/>
        <w:numPr>
          <w:ilvl w:val="0"/>
          <w:numId w:val="16"/>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变现风险。抵押人不能履行债务时，抵押权人是要将其抵押房地产变现，而不是收回抵押物。这时会出现因处置抵押物的短期性、强制性、变现能力差和处置发生的税和费形成价值减损甚至资不抵债的风险。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估价对象由于拍卖或者变卖快速变现时最可能实现的价格与评估的市场价值存在较大的差异，变现需要一定的时间以及拍卖，变卖费用较高，转让税费受房地产税收政策影响较大，总体上分析委估对象存在变现风险。</w:t>
      </w:r>
    </w:p>
    <w:p>
      <w:pPr>
        <w:keepNext w:val="0"/>
        <w:keepLines w:val="0"/>
        <w:pageBreakBefore w:val="0"/>
        <w:widowControl/>
        <w:numPr>
          <w:ilvl w:val="0"/>
          <w:numId w:val="16"/>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损耗风险。由于房地产抵押的特性使的抵押物仍由抵押人占有、使用、收益。在抵押期间正常使用房地产也会造成抵押物的一般损耗；不当使用或空置，质量隐患，管理维护不妥，甚至火灾等意外都会造成其价值严重减损甚至消失。 </w:t>
      </w:r>
    </w:p>
    <w:p>
      <w:pPr>
        <w:keepNext w:val="0"/>
        <w:keepLines w:val="0"/>
        <w:pageBreakBefore w:val="0"/>
        <w:widowControl/>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估价对象为正常使用的工业、商业房地产，存在损耗风险。</w:t>
      </w:r>
    </w:p>
    <w:p>
      <w:pPr>
        <w:keepNext w:val="0"/>
        <w:keepLines w:val="0"/>
        <w:pageBreakBefore w:val="0"/>
        <w:widowControl/>
        <w:numPr>
          <w:ilvl w:val="0"/>
          <w:numId w:val="15"/>
        </w:numPr>
        <w:kinsoku/>
        <w:wordWrap/>
        <w:overflowPunct/>
        <w:topLinePunct w:val="0"/>
        <w:autoSpaceDE/>
        <w:autoSpaceDN/>
        <w:bidi w:val="0"/>
        <w:adjustRightInd/>
        <w:snapToGrid/>
        <w:spacing w:after="0" w:line="460" w:lineRule="exact"/>
        <w:ind w:left="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系统风险： </w:t>
      </w:r>
    </w:p>
    <w:p>
      <w:pPr>
        <w:keepNext w:val="0"/>
        <w:keepLines w:val="0"/>
        <w:pageBreakBefore w:val="0"/>
        <w:widowControl/>
        <w:numPr>
          <w:ilvl w:val="0"/>
          <w:numId w:val="17"/>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市场供求风险。市场供求风险是指抵押房地产所在的地区房地产市场供求关系的变化所带来的风险。市场是不断变化的，房地产市场的供给与需求也在不断变化，而供求关系的变化必然造成房地产抵押物价格的波动，具体表现为租金收入和房地产价值的变化，当市场结构性过剩、购买力降低达到一定程度时，这种风险极大影响抵押房地产的变现。</w:t>
      </w:r>
    </w:p>
    <w:p>
      <w:pPr>
        <w:keepNext w:val="0"/>
        <w:keepLines w:val="0"/>
        <w:pageBreakBefore w:val="0"/>
        <w:widowControl/>
        <w:numPr>
          <w:ilvl w:val="0"/>
          <w:numId w:val="17"/>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政策、政治风险。政府有关房地产的税收、住房、价格、金融、环境保护等政策都会对房地产收益目标的实现产生巨大影响，从而给抵押权人带来风险。政治风险（战争、政变、经济制裁、罢工、骚乱等）一旦发生，不仅会直接给建筑物造成损害，而且会引起一系列其他风险，这也是对房地产危害最大的一种风险。</w:t>
      </w:r>
    </w:p>
    <w:p>
      <w:pPr>
        <w:keepNext w:val="0"/>
        <w:keepLines w:val="0"/>
        <w:pageBreakBefore w:val="0"/>
        <w:widowControl/>
        <w:numPr>
          <w:ilvl w:val="0"/>
          <w:numId w:val="17"/>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信用、道德等风险。抵押人（贷款人）信用、道德影响着还贷计划。</w:t>
      </w:r>
    </w:p>
    <w:p>
      <w:pPr>
        <w:keepNext w:val="0"/>
        <w:keepLines w:val="0"/>
        <w:pageBreakBefore w:val="0"/>
        <w:widowControl/>
        <w:numPr>
          <w:ilvl w:val="0"/>
          <w:numId w:val="17"/>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或然损失风险。或然损失风险是指火灾、风灾或其他偶然发生的自然灾害引起的抵押房地产的损失。一旦发生这些灾害，房屋不能再出租（或自营）使用，尽管建筑物进行了投保，但是其经营（或出租）被迫停止，房屋内的动产随不动产损毁而损毁，因资金缺乏而无法对不动产重建，其损失和创伤是无法弥补的。</w:t>
      </w:r>
    </w:p>
    <w:p>
      <w:pPr>
        <w:rPr>
          <w:rFonts w:hint="default" w:ascii="Times New Roman" w:hAnsi="Times New Roman" w:eastAsia="宋体" w:cs="Times New Roman"/>
          <w:bCs/>
          <w:color w:val="000000"/>
        </w:rPr>
      </w:pPr>
    </w:p>
    <w:p>
      <w:pPr>
        <w:rPr>
          <w:rFonts w:hint="default" w:ascii="Times New Roman" w:hAnsi="Times New Roman" w:eastAsia="宋体" w:cs="Times New Roman"/>
          <w:bCs/>
          <w:color w:val="000000"/>
        </w:rPr>
      </w:pPr>
    </w:p>
    <w:p>
      <w:pPr>
        <w:spacing w:line="480" w:lineRule="exact"/>
        <w:ind w:right="1157" w:firstLine="420" w:firstLineChars="150"/>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spacing w:line="800" w:lineRule="exact"/>
        <w:jc w:val="center"/>
        <w:rPr>
          <w:rFonts w:hint="default" w:ascii="Times New Roman" w:hAnsi="Times New Roman" w:eastAsia="宋体" w:cs="Times New Roman"/>
          <w:b/>
          <w:bCs/>
          <w:sz w:val="36"/>
        </w:rPr>
      </w:pPr>
    </w:p>
    <w:p>
      <w:pPr>
        <w:spacing w:line="800" w:lineRule="exact"/>
        <w:jc w:val="center"/>
        <w:rPr>
          <w:rFonts w:hint="default" w:ascii="Times New Roman" w:hAnsi="Times New Roman" w:eastAsia="宋体" w:cs="Times New Roman"/>
          <w:b/>
          <w:bCs/>
          <w:sz w:val="36"/>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outlineLvl w:val="0"/>
        <w:rPr>
          <w:rFonts w:hint="default" w:ascii="Times New Roman" w:hAnsi="Times New Roman" w:eastAsia="宋体" w:cs="Times New Roman"/>
          <w:b/>
          <w:bCs/>
          <w:sz w:val="36"/>
        </w:rPr>
      </w:pPr>
      <w:r>
        <w:rPr>
          <w:rFonts w:hint="default" w:ascii="Times New Roman" w:hAnsi="Times New Roman" w:eastAsia="宋体" w:cs="Times New Roman"/>
          <w:b/>
          <w:bCs/>
          <w:sz w:val="36"/>
        </w:rPr>
        <w:br w:type="page"/>
      </w:r>
      <w:bookmarkStart w:id="25" w:name="_Toc19757"/>
      <w:r>
        <w:rPr>
          <w:rFonts w:hint="default" w:ascii="Times New Roman" w:hAnsi="Times New Roman" w:cs="Times New Roman"/>
          <w:b/>
          <w:sz w:val="32"/>
          <w:szCs w:val="32"/>
          <w:lang w:eastAsia="zh-CN"/>
        </w:rPr>
        <w:t>估价</w:t>
      </w:r>
      <w:r>
        <w:rPr>
          <w:rFonts w:hint="default" w:ascii="Times New Roman" w:hAnsi="Times New Roman" w:eastAsia="宋体" w:cs="Times New Roman"/>
          <w:b/>
          <w:sz w:val="32"/>
          <w:szCs w:val="32"/>
        </w:rPr>
        <w:t>技术报告</w:t>
      </w:r>
      <w:bookmarkEnd w:id="25"/>
    </w:p>
    <w:p>
      <w:pPr>
        <w:pStyle w:val="4"/>
        <w:keepNext w:val="0"/>
        <w:keepLines w:val="0"/>
        <w:pageBreakBefore w:val="0"/>
        <w:widowControl/>
        <w:kinsoku/>
        <w:wordWrap/>
        <w:overflowPunct/>
        <w:topLinePunct w:val="0"/>
        <w:autoSpaceDE/>
        <w:autoSpaceDN/>
        <w:bidi w:val="0"/>
        <w:adjustRightInd/>
        <w:snapToGrid/>
        <w:spacing w:before="0" w:line="500" w:lineRule="exact"/>
        <w:ind w:firstLine="482" w:firstLineChars="200"/>
        <w:jc w:val="both"/>
        <w:textAlignment w:val="auto"/>
        <w:rPr>
          <w:rFonts w:hint="default" w:ascii="Times New Roman" w:hAnsi="Times New Roman" w:eastAsia="宋体" w:cs="Times New Roman"/>
          <w:b/>
          <w:sz w:val="24"/>
          <w:szCs w:val="24"/>
        </w:rPr>
      </w:pPr>
      <w:bookmarkStart w:id="26" w:name="_Toc15193"/>
      <w:r>
        <w:rPr>
          <w:rFonts w:hint="default" w:ascii="Times New Roman" w:hAnsi="Times New Roman" w:eastAsia="宋体" w:cs="Times New Roman"/>
          <w:b/>
          <w:sz w:val="24"/>
          <w:szCs w:val="24"/>
        </w:rPr>
        <w:t>一、估价对象描述与分析</w:t>
      </w:r>
      <w:bookmarkEnd w:id="26"/>
    </w:p>
    <w:p>
      <w:pPr>
        <w:keepNext w:val="0"/>
        <w:keepLines w:val="0"/>
        <w:pageBreakBefore w:val="0"/>
        <w:widowControl/>
        <w:numPr>
          <w:ilvl w:val="0"/>
          <w:numId w:val="18"/>
        </w:numPr>
        <w:kinsoku/>
        <w:wordWrap/>
        <w:overflowPunct/>
        <w:topLinePunct w:val="0"/>
        <w:autoSpaceDE/>
        <w:autoSpaceDN/>
        <w:bidi w:val="0"/>
        <w:adjustRightInd/>
        <w:snapToGrid/>
        <w:spacing w:after="0" w:line="500" w:lineRule="exact"/>
        <w:ind w:left="0" w:leftChars="0" w:firstLine="482" w:firstLineChars="200"/>
        <w:jc w:val="both"/>
        <w:textAlignment w:val="auto"/>
        <w:rPr>
          <w:rFonts w:hint="default" w:ascii="Times New Roman" w:hAnsi="Times New Roman" w:eastAsia="宋体" w:cs="Times New Roman"/>
          <w:b/>
          <w:sz w:val="24"/>
          <w:szCs w:val="24"/>
        </w:rPr>
      </w:pPr>
      <w:bookmarkStart w:id="27" w:name="_Toc32446"/>
      <w:r>
        <w:rPr>
          <w:rFonts w:hint="default" w:ascii="Times New Roman" w:hAnsi="Times New Roman" w:eastAsia="宋体" w:cs="Times New Roman"/>
          <w:b/>
          <w:sz w:val="24"/>
          <w:szCs w:val="24"/>
        </w:rPr>
        <w:t>估价对象</w:t>
      </w:r>
      <w:r>
        <w:rPr>
          <w:rFonts w:hint="default" w:ascii="Times New Roman" w:hAnsi="Times New Roman" w:eastAsia="宋体" w:cs="Times New Roman"/>
          <w:b/>
          <w:sz w:val="24"/>
          <w:szCs w:val="24"/>
          <w:lang w:val="en-US" w:eastAsia="zh-CN"/>
        </w:rPr>
        <w:t>实物</w:t>
      </w:r>
      <w:r>
        <w:rPr>
          <w:rFonts w:hint="default" w:ascii="Times New Roman" w:hAnsi="Times New Roman" w:eastAsia="宋体" w:cs="Times New Roman"/>
          <w:b/>
          <w:sz w:val="24"/>
          <w:szCs w:val="24"/>
        </w:rPr>
        <w:t>状况</w:t>
      </w:r>
    </w:p>
    <w:p>
      <w:pPr>
        <w:keepNext w:val="0"/>
        <w:keepLines w:val="0"/>
        <w:pageBreakBefore w:val="0"/>
        <w:widowControl/>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根据估价委托人提供的资料估价对象为债务人</w:t>
      </w:r>
      <w:r>
        <w:rPr>
          <w:rFonts w:hint="eastAsia" w:ascii="Times New Roman" w:hAnsi="Times New Roman" w:cs="Times New Roman"/>
          <w:sz w:val="24"/>
          <w:szCs w:val="24"/>
          <w:lang w:eastAsia="zh-CN"/>
        </w:rPr>
        <w:t>烟台市永旺钢材城有限责任公司</w:t>
      </w:r>
      <w:r>
        <w:rPr>
          <w:rFonts w:hint="default" w:ascii="Times New Roman" w:hAnsi="Times New Roman" w:eastAsia="宋体" w:cs="Times New Roman"/>
          <w:sz w:val="24"/>
          <w:szCs w:val="24"/>
        </w:rPr>
        <w:t>所涉及</w:t>
      </w:r>
      <w:r>
        <w:rPr>
          <w:rFonts w:hint="default" w:ascii="Times New Roman" w:hAnsi="Times New Roman" w:cs="Times New Roman"/>
          <w:sz w:val="24"/>
          <w:szCs w:val="24"/>
          <w:lang w:eastAsia="zh-CN"/>
        </w:rPr>
        <w:t>的房产、土地使用权</w:t>
      </w:r>
      <w:r>
        <w:rPr>
          <w:rFonts w:hint="default" w:ascii="Times New Roman" w:hAnsi="Times New Roman" w:eastAsia="宋体" w:cs="Times New Roman"/>
          <w:sz w:val="24"/>
          <w:szCs w:val="24"/>
        </w:rPr>
        <w:t>，</w:t>
      </w:r>
      <w:r>
        <w:rPr>
          <w:rFonts w:hint="default" w:ascii="Times New Roman" w:hAnsi="Times New Roman" w:eastAsia="宋体" w:cs="Times New Roman"/>
          <w:b w:val="0"/>
          <w:bCs w:val="0"/>
          <w:kern w:val="2"/>
          <w:sz w:val="24"/>
          <w:szCs w:val="24"/>
          <w:lang w:val="en-US" w:eastAsia="zh-CN" w:bidi="ar-SA"/>
        </w:rPr>
        <w:t>经评估人员现场勘察，地上房产目前正在正常使用</w:t>
      </w:r>
      <w:r>
        <w:rPr>
          <w:rFonts w:hint="default" w:ascii="Times New Roman" w:hAnsi="Times New Roman" w:cs="Times New Roman"/>
          <w:b w:val="0"/>
          <w:bCs w:val="0"/>
          <w:kern w:val="2"/>
          <w:sz w:val="24"/>
          <w:szCs w:val="24"/>
          <w:lang w:val="en-US" w:eastAsia="zh-CN" w:bidi="ar-SA"/>
        </w:rPr>
        <w:t>。</w:t>
      </w:r>
      <w:r>
        <w:rPr>
          <w:rFonts w:hint="default" w:ascii="Times New Roman" w:hAnsi="Times New Roman" w:eastAsia="宋体" w:cs="Times New Roman"/>
          <w:sz w:val="24"/>
          <w:szCs w:val="24"/>
        </w:rPr>
        <w:t>具体情况见下表。</w:t>
      </w:r>
    </w:p>
    <w:p>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拟处置债权涉及的</w:t>
      </w:r>
      <w:r>
        <w:rPr>
          <w:rFonts w:hint="default" w:ascii="Times New Roman" w:hAnsi="Times New Roman" w:cs="Times New Roman"/>
          <w:sz w:val="24"/>
          <w:szCs w:val="24"/>
          <w:lang w:eastAsia="zh-CN"/>
        </w:rPr>
        <w:t>资产</w:t>
      </w:r>
      <w:r>
        <w:rPr>
          <w:rFonts w:hint="default" w:ascii="Times New Roman" w:hAnsi="Times New Roman" w:eastAsia="宋体" w:cs="Times New Roman"/>
          <w:sz w:val="24"/>
          <w:szCs w:val="24"/>
        </w:rPr>
        <w:t>基本信息</w:t>
      </w:r>
    </w:p>
    <w:tbl>
      <w:tblPr>
        <w:tblStyle w:val="36"/>
        <w:tblW w:w="4995" w:type="pct"/>
        <w:tblInd w:w="0"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665"/>
        <w:gridCol w:w="1048"/>
        <w:gridCol w:w="896"/>
        <w:gridCol w:w="2060"/>
        <w:gridCol w:w="617"/>
        <w:gridCol w:w="594"/>
        <w:gridCol w:w="617"/>
        <w:gridCol w:w="617"/>
        <w:gridCol w:w="1036"/>
        <w:gridCol w:w="1016"/>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3" w:hRule="atLeast"/>
        </w:trPr>
        <w:tc>
          <w:tcPr>
            <w:tcW w:w="362"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资产</w:t>
            </w:r>
          </w:p>
        </w:tc>
        <w:tc>
          <w:tcPr>
            <w:tcW w:w="5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产权证书</w:t>
            </w:r>
          </w:p>
        </w:tc>
        <w:tc>
          <w:tcPr>
            <w:tcW w:w="488"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产权登记人</w:t>
            </w:r>
          </w:p>
        </w:tc>
        <w:tc>
          <w:tcPr>
            <w:tcW w:w="11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坐落</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用途</w:t>
            </w:r>
          </w:p>
        </w:tc>
        <w:tc>
          <w:tcPr>
            <w:tcW w:w="32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开发程度</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结构</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总层数</w:t>
            </w:r>
          </w:p>
        </w:tc>
        <w:tc>
          <w:tcPr>
            <w:tcW w:w="56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 xml:space="preserve"> 数量（㎡） </w:t>
            </w:r>
          </w:p>
        </w:tc>
        <w:tc>
          <w:tcPr>
            <w:tcW w:w="55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highlight w:val="none"/>
                <w:lang w:val="en-US" w:eastAsia="zh-CN"/>
                <w14:textFill>
                  <w14:solidFill>
                    <w14:schemeClr w14:val="tx1"/>
                  </w14:solidFill>
                </w14:textFill>
              </w:rPr>
              <w:t>建成年代/终止日期</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1145" w:hRule="atLeast"/>
        </w:trPr>
        <w:tc>
          <w:tcPr>
            <w:tcW w:w="362"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房产</w:t>
            </w:r>
          </w:p>
        </w:tc>
        <w:tc>
          <w:tcPr>
            <w:tcW w:w="5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海房权证东村字第023159号</w:t>
            </w:r>
          </w:p>
        </w:tc>
        <w:tc>
          <w:tcPr>
            <w:tcW w:w="488" w:type="pct"/>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海阳市樱坤物资贸易有限公司</w:t>
            </w:r>
          </w:p>
        </w:tc>
        <w:tc>
          <w:tcPr>
            <w:tcW w:w="11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海阳市东村工业园区</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工业</w:t>
            </w:r>
          </w:p>
        </w:tc>
        <w:tc>
          <w:tcPr>
            <w:tcW w:w="32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钢</w:t>
            </w: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1/1</w:t>
            </w:r>
          </w:p>
        </w:tc>
        <w:tc>
          <w:tcPr>
            <w:tcW w:w="56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2,584.85 </w:t>
            </w:r>
          </w:p>
        </w:tc>
        <w:tc>
          <w:tcPr>
            <w:tcW w:w="55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2005</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3" w:hRule="atLeast"/>
        </w:trPr>
        <w:tc>
          <w:tcPr>
            <w:tcW w:w="362"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土地</w:t>
            </w:r>
          </w:p>
        </w:tc>
        <w:tc>
          <w:tcPr>
            <w:tcW w:w="571"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海国用（2008）第003号</w:t>
            </w:r>
          </w:p>
        </w:tc>
        <w:tc>
          <w:tcPr>
            <w:tcW w:w="488" w:type="pct"/>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123"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海阳市东村工业组团</w:t>
            </w:r>
          </w:p>
        </w:tc>
        <w:tc>
          <w:tcPr>
            <w:tcW w:w="336"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工业用地</w:t>
            </w:r>
          </w:p>
        </w:tc>
        <w:tc>
          <w:tcPr>
            <w:tcW w:w="324"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五通一平</w:t>
            </w: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336"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565"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 xml:space="preserve"> 9,396.08 </w:t>
            </w:r>
          </w:p>
        </w:tc>
        <w:tc>
          <w:tcPr>
            <w:tcW w:w="554"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2056/12/27</w:t>
            </w:r>
          </w:p>
        </w:tc>
      </w:tr>
    </w:tbl>
    <w:p>
      <w:pPr>
        <w:keepNext w:val="0"/>
        <w:keepLines w:val="0"/>
        <w:pageBreakBefore w:val="0"/>
        <w:widowControl/>
        <w:numPr>
          <w:ilvl w:val="0"/>
          <w:numId w:val="18"/>
        </w:numPr>
        <w:kinsoku/>
        <w:wordWrap/>
        <w:overflowPunct/>
        <w:topLinePunct w:val="0"/>
        <w:autoSpaceDE/>
        <w:autoSpaceDN/>
        <w:bidi w:val="0"/>
        <w:adjustRightInd/>
        <w:snapToGrid/>
        <w:spacing w:after="0" w:line="500" w:lineRule="exact"/>
        <w:ind w:left="0" w:leftChars="0"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估价对象权益状况</w:t>
      </w:r>
    </w:p>
    <w:tbl>
      <w:tblPr>
        <w:tblStyle w:val="36"/>
        <w:tblW w:w="5033"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Layout w:type="autofit"/>
        <w:tblCellMar>
          <w:top w:w="0" w:type="dxa"/>
          <w:left w:w="0" w:type="dxa"/>
          <w:bottom w:w="0" w:type="dxa"/>
          <w:right w:w="0" w:type="dxa"/>
        </w:tblCellMar>
      </w:tblPr>
      <w:tblGrid>
        <w:gridCol w:w="965"/>
        <w:gridCol w:w="522"/>
        <w:gridCol w:w="1621"/>
        <w:gridCol w:w="1575"/>
        <w:gridCol w:w="1617"/>
        <w:gridCol w:w="1280"/>
        <w:gridCol w:w="1467"/>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trPr>
        <w:tc>
          <w:tcPr>
            <w:tcW w:w="533"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auto"/>
                <w:kern w:val="2"/>
                <w:sz w:val="18"/>
                <w:szCs w:val="18"/>
                <w:highlight w:val="none"/>
                <w:lang w:val="en-US" w:eastAsia="zh-CN"/>
              </w:rPr>
              <w:t>产权登记人</w:t>
            </w:r>
          </w:p>
        </w:tc>
        <w:tc>
          <w:tcPr>
            <w:tcW w:w="288"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资产</w:t>
            </w:r>
          </w:p>
        </w:tc>
        <w:tc>
          <w:tcPr>
            <w:tcW w:w="895"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产权证书</w:t>
            </w:r>
          </w:p>
        </w:tc>
        <w:tc>
          <w:tcPr>
            <w:tcW w:w="870"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eastAsia" w:ascii="Times New Roman" w:hAnsi="Times New Roman" w:cs="Times New Roman"/>
                <w:b/>
                <w:bCs/>
                <w:color w:val="auto"/>
                <w:kern w:val="2"/>
                <w:sz w:val="18"/>
                <w:szCs w:val="18"/>
                <w:highlight w:val="none"/>
                <w:lang w:val="en-US" w:eastAsia="zh-CN"/>
              </w:rPr>
              <w:t>他项权证</w:t>
            </w:r>
          </w:p>
        </w:tc>
        <w:tc>
          <w:tcPr>
            <w:tcW w:w="893"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auto"/>
                <w:kern w:val="2"/>
                <w:sz w:val="18"/>
                <w:szCs w:val="18"/>
                <w:highlight w:val="none"/>
                <w:lang w:val="en-US" w:eastAsia="zh-CN"/>
              </w:rPr>
              <w:t>抵押权利人</w:t>
            </w:r>
          </w:p>
        </w:tc>
        <w:tc>
          <w:tcPr>
            <w:tcW w:w="707"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auto"/>
                <w:kern w:val="2"/>
                <w:sz w:val="18"/>
                <w:szCs w:val="18"/>
                <w:highlight w:val="none"/>
                <w:lang w:val="en-US" w:eastAsia="zh-CN"/>
              </w:rPr>
              <w:t>抵押金额</w:t>
            </w:r>
            <w:r>
              <w:rPr>
                <w:rFonts w:hint="default" w:ascii="Times New Roman" w:hAnsi="Times New Roman" w:cs="Times New Roman"/>
                <w:b/>
                <w:bCs/>
                <w:color w:val="auto"/>
                <w:kern w:val="2"/>
                <w:sz w:val="18"/>
                <w:szCs w:val="18"/>
                <w:highlight w:val="none"/>
                <w:lang w:val="en-US" w:eastAsia="zh-CN"/>
              </w:rPr>
              <w:t>及期限</w:t>
            </w:r>
          </w:p>
        </w:tc>
        <w:tc>
          <w:tcPr>
            <w:tcW w:w="810"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auto"/>
                <w:kern w:val="2"/>
                <w:sz w:val="18"/>
                <w:szCs w:val="18"/>
                <w:highlight w:val="none"/>
                <w:lang w:val="en-US" w:eastAsia="zh-CN"/>
              </w:rPr>
            </w:pPr>
            <w:r>
              <w:rPr>
                <w:rFonts w:hint="default" w:ascii="Times New Roman" w:hAnsi="Times New Roman" w:eastAsia="宋体" w:cs="Times New Roman"/>
                <w:b/>
                <w:bCs/>
                <w:color w:val="auto"/>
                <w:kern w:val="2"/>
                <w:sz w:val="18"/>
                <w:szCs w:val="18"/>
                <w:highlight w:val="none"/>
                <w:lang w:val="en-US" w:eastAsia="zh-CN"/>
              </w:rPr>
              <w:t>抵押查封信息（截止价值时点）</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trPr>
        <w:tc>
          <w:tcPr>
            <w:tcW w:w="533" w:type="pct"/>
            <w:vMerge w:val="restar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烟台市永旺钢材城有限责任公司</w:t>
            </w:r>
          </w:p>
        </w:tc>
        <w:tc>
          <w:tcPr>
            <w:tcW w:w="288"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房产</w:t>
            </w:r>
          </w:p>
        </w:tc>
        <w:tc>
          <w:tcPr>
            <w:tcW w:w="895"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海房权证东村字第023159号</w:t>
            </w:r>
          </w:p>
        </w:tc>
        <w:tc>
          <w:tcPr>
            <w:tcW w:w="870"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海房东村他字第06728号</w:t>
            </w:r>
          </w:p>
        </w:tc>
        <w:tc>
          <w:tcPr>
            <w:tcW w:w="893" w:type="pct"/>
            <w:vMerge w:val="restar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auto"/>
                <w:kern w:val="2"/>
                <w:sz w:val="18"/>
                <w:szCs w:val="18"/>
                <w:highlight w:val="none"/>
                <w:lang w:val="en-US" w:eastAsia="zh-CN"/>
              </w:rPr>
            </w:pPr>
            <w:r>
              <w:rPr>
                <w:rFonts w:hint="eastAsia" w:ascii="Times New Roman" w:hAnsi="Times New Roman" w:cs="Times New Roman"/>
                <w:color w:val="auto"/>
                <w:kern w:val="2"/>
                <w:sz w:val="18"/>
                <w:szCs w:val="18"/>
                <w:highlight w:val="none"/>
                <w:lang w:val="en-US" w:eastAsia="zh-CN"/>
              </w:rPr>
              <w:t>中国农业</w:t>
            </w:r>
            <w:r>
              <w:rPr>
                <w:rFonts w:hint="default" w:ascii="Times New Roman" w:hAnsi="Times New Roman" w:cs="Times New Roman"/>
                <w:color w:val="auto"/>
                <w:kern w:val="2"/>
                <w:sz w:val="18"/>
                <w:szCs w:val="18"/>
                <w:highlight w:val="none"/>
                <w:lang w:val="en-US" w:eastAsia="zh-CN"/>
              </w:rPr>
              <w:t>银行股份有限公司海阳支行</w:t>
            </w:r>
          </w:p>
        </w:tc>
        <w:tc>
          <w:tcPr>
            <w:tcW w:w="707" w:type="pct"/>
            <w:vMerge w:val="restar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auto"/>
                <w:kern w:val="2"/>
                <w:sz w:val="18"/>
                <w:szCs w:val="18"/>
                <w:highlight w:val="none"/>
                <w:lang w:val="en-US" w:eastAsia="zh-CN"/>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债权金额：1,660万元；抵押期限：2018年8月30日至2019年8月29日</w:t>
            </w:r>
          </w:p>
        </w:tc>
        <w:tc>
          <w:tcPr>
            <w:tcW w:w="810" w:type="pct"/>
            <w:vMerge w:val="restar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有抵押</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trPr>
        <w:tc>
          <w:tcPr>
            <w:tcW w:w="533" w:type="pct"/>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88"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土地</w:t>
            </w:r>
          </w:p>
        </w:tc>
        <w:tc>
          <w:tcPr>
            <w:tcW w:w="895"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海国用（2008）第003号</w:t>
            </w:r>
          </w:p>
        </w:tc>
        <w:tc>
          <w:tcPr>
            <w:tcW w:w="870" w:type="pct"/>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海他项（2008）第081号</w:t>
            </w:r>
          </w:p>
        </w:tc>
        <w:tc>
          <w:tcPr>
            <w:tcW w:w="893" w:type="pct"/>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707" w:type="pct"/>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810" w:type="pct"/>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r>
    </w:tbl>
    <w:p>
      <w:pPr>
        <w:keepNext w:val="0"/>
        <w:keepLines w:val="0"/>
        <w:pageBreakBefore w:val="0"/>
        <w:widowControl/>
        <w:numPr>
          <w:ilvl w:val="0"/>
          <w:numId w:val="18"/>
        </w:numPr>
        <w:kinsoku/>
        <w:wordWrap/>
        <w:overflowPunct/>
        <w:topLinePunct w:val="0"/>
        <w:autoSpaceDE/>
        <w:autoSpaceDN/>
        <w:bidi w:val="0"/>
        <w:adjustRightInd/>
        <w:snapToGrid/>
        <w:spacing w:after="0" w:line="500" w:lineRule="exact"/>
        <w:ind w:left="0" w:leftChars="0"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估价对象</w:t>
      </w:r>
      <w:r>
        <w:rPr>
          <w:rFonts w:hint="eastAsia" w:ascii="Times New Roman" w:hAnsi="Times New Roman" w:eastAsia="宋体" w:cs="Times New Roman"/>
          <w:b/>
          <w:sz w:val="24"/>
          <w:szCs w:val="24"/>
          <w:lang w:eastAsia="zh-CN"/>
        </w:rPr>
        <w:t>区位</w:t>
      </w:r>
      <w:r>
        <w:rPr>
          <w:rFonts w:hint="default" w:ascii="Times New Roman" w:hAnsi="Times New Roman" w:eastAsia="宋体" w:cs="Times New Roman"/>
          <w:b/>
          <w:sz w:val="24"/>
          <w:szCs w:val="24"/>
        </w:rPr>
        <w:t>状况</w:t>
      </w:r>
    </w:p>
    <w:p>
      <w:pPr>
        <w:pStyle w:val="13"/>
        <w:pageBreakBefore w:val="0"/>
        <w:kinsoku/>
        <w:wordWrap/>
        <w:overflowPunct/>
        <w:bidi w:val="0"/>
        <w:spacing w:after="0" w:line="500" w:lineRule="exact"/>
        <w:ind w:firstLine="480" w:firstLineChars="200"/>
        <w:jc w:val="both"/>
        <w:rPr>
          <w:rFonts w:hint="default"/>
          <w:sz w:val="24"/>
          <w:szCs w:val="24"/>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烟台市永旺钢材城有限责任公司位于海阳市东村工业园区。海阳市位于胶东半岛南端，土地总面积1909平方公里，海域面积1829平方公里，海岸线长212公里，常住人口58万，辖18个镇街区，包括1个国家级旅游度假区、1个省级经济开发区和1个省级核电装备制造工业园区，719个行政村、24个城市社区。始终把“双招双引”作为推动经济高质量发展的“牛鼻子”，作为培育发展新动能的“主抓手”，聚焦“八大招商方向”、瞄准“三类”500强、北上广等发达地区及青岛等周边地区，通过组建专业招商队伍、设立招商代表处等系列举措，不断提高“双招双引”实效。立足产业发展现状和未来产业发展趋势，在全省县级城市率先设立新旧动能转换基金，为新旧动能转换重大工程实施提供了有力的资金保障。2020年，全市新引进投资过5000万元以上项目60个，其中过亿元项目44个。2021年以来，引进投资5000万元以上项目55个、总投资344.7亿元，其中过亿元项目42个、总投资335.3亿元，包含过10亿元大项目12个、总投资221.6亿元。2019年以来先后举办“海阳骄子归乡恳谈会”等招才引智活动31场，引进省部级以上高端人才60名，其中院士、国家级重点人才工程入选者12人，引才数量及质量均创历史新高。海阳地处胶东半岛的中心节点位置，是胶东半岛重要的交通枢纽，与烟青威三市等距离，坚持交通先行理念，有序推进“两条铁路”建设，莱荣高铁已于2020年11月初正式开工建设，即墨至海阳市域铁路已启动项目可研报告编制以及招标工作，海阳与青岛实现“同城化”、融入半岛城市群1小时经济圈即将成为现实。在境内已有威青高速、海即跨海大桥、烟海高速的基础上，持续加快建设四通八达、快速便捷的高速公路网，目前文莱高速已建成通车，国道G228丹东线海阳东段工程、G228乳山口跨海大桥海阳境段等重要公路进展顺利，海阳作为胶东半岛中心节点城市的地位进一步凸显。2019年海阳港跻身国家一类口岸行列，海阳海关成功开关运行，为推动港产城融合发展带来了新契机，为深化对外开放架起新的桥梁。凭借优越的区位优势，纵深实施区域集聚战略、进军蓝海战略，积极融入胶东经济圈一体化发展，海阳必将成为人流、物流、资金流加速汇聚的富集之地。</w:t>
      </w:r>
    </w:p>
    <w:p>
      <w:pPr>
        <w:pStyle w:val="4"/>
        <w:keepNext w:val="0"/>
        <w:keepLines w:val="0"/>
        <w:pageBreakBefore w:val="0"/>
        <w:widowControl/>
        <w:kinsoku/>
        <w:wordWrap/>
        <w:overflowPunct/>
        <w:topLinePunct w:val="0"/>
        <w:autoSpaceDE/>
        <w:autoSpaceDN/>
        <w:bidi w:val="0"/>
        <w:adjustRightInd/>
        <w:snapToGrid/>
        <w:spacing w:before="0" w:after="0" w:line="50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二、市场背景描述与分析</w:t>
      </w:r>
      <w:bookmarkEnd w:id="27"/>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山东省20</w:t>
      </w:r>
      <w:r>
        <w:rPr>
          <w:rFonts w:hint="default" w:ascii="Times New Roman" w:hAnsi="Times New Roman" w:cs="Times New Roman"/>
          <w:sz w:val="24"/>
          <w:szCs w:val="24"/>
          <w:lang w:val="en-US" w:eastAsia="zh-CN"/>
        </w:rPr>
        <w:t>2</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rPr>
        <w:t>年地区生产总值增长5.5%；一般公共预算收入增长0.6%（剔除减税降费等因素，可比口径实际增长13%以上）；城乡居民人均可支配收入分别增长7.0%和9.1%；城镇登记失业率控制在3.29%。</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865个新旧动能转换优选项目和104个省重大建设项目，分别完成投资2407亿元和1172亿元以上，“四新”经济增加值占比达到28%、投资占比达到44.8%。新培育省级产业互联网平台70家，“上云用云”企业超过10万家，全国首个5G高新视频实验园区落户青岛，全省开通5G基站超过1万个。创新驱动战略深入实施。山东产业技术研究院、高等技术研究院、能源研究院、高端石化研究院、稀土催化研究院等相继揭牌，省级创新创业共同体达到22家。济南超算科技园投入启用，中科院济南科创城落地建设，600公里高速磁浮试验样车下线。海洋优势持续彰显。整合组建省港口集团，“透明海洋”“蓝色药库”等重大工程顺利实施，国家级海洋牧场示范区达到44处、占全国的40%，新增海洋工程技术协同创新中心63家，全省海洋生产总值增长9%左右，经略海洋迈出新步伐。两年多来累计治理“散乱污”企业11万家，关停化工企业1500多家，化工园区从199家压减到85家。裕龙岛炼化一体化项目获批同意纳入国家规划，世界高端铝业基地、先进钢铁基地、山东重工商用车生产基地建设加快推进。全年压减煤炭产能875万吨、生铁465万吨、粗钢923万吨、焦化777万吨，海阳核电一期工程建成投运，新能源和可再生能源发电装机占比超过25%。产业结构持续优化。服务业增加值占比超过绝对半数、达到53%，对经济增长贡献率达到78.2%。新增高新技术企业2500余家，总量突破1.1万家；高新技术产业产值占比达到40.1%，比上年提高3.2个百分点。城乡融合发展更趋协调。打造乡村振兴齐鲁样板取得显著进展，“十百千”示范创建、农村人居环境整治、美丽村居“四一三”行动扎实推进，新增省级田园综合体28个。</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来看，山东省内正由传统制造业强省转向新动能、高技术、数字化产业，坚决改造提升传统动能，抓紧抓实企业技改，推动过剩产能调整转型工作，压旧上新、压小上大、压低上高、压散上整，对非重点区域、非高新产业区域工业用地房地产市场有一定影响，且目前全球疫情影响尚未完全消除，目前房地产市场较为低迷。</w:t>
      </w:r>
    </w:p>
    <w:p>
      <w:pPr>
        <w:pStyle w:val="4"/>
        <w:keepNext w:val="0"/>
        <w:keepLines w:val="0"/>
        <w:pageBreakBefore w:val="0"/>
        <w:widowControl/>
        <w:kinsoku/>
        <w:wordWrap/>
        <w:overflowPunct/>
        <w:topLinePunct w:val="0"/>
        <w:autoSpaceDE/>
        <w:autoSpaceDN/>
        <w:bidi w:val="0"/>
        <w:adjustRightInd/>
        <w:snapToGrid/>
        <w:spacing w:before="0" w:after="0" w:line="500" w:lineRule="exact"/>
        <w:ind w:firstLine="482" w:firstLineChars="200"/>
        <w:jc w:val="both"/>
        <w:textAlignment w:val="auto"/>
        <w:rPr>
          <w:rFonts w:hint="default" w:ascii="Times New Roman" w:hAnsi="Times New Roman" w:eastAsia="宋体" w:cs="Times New Roman"/>
          <w:b/>
          <w:sz w:val="24"/>
          <w:szCs w:val="24"/>
        </w:rPr>
      </w:pPr>
      <w:bookmarkStart w:id="28" w:name="_Toc2948"/>
      <w:r>
        <w:rPr>
          <w:rFonts w:hint="default" w:ascii="Times New Roman" w:hAnsi="Times New Roman" w:eastAsia="宋体" w:cs="Times New Roman"/>
          <w:b/>
          <w:sz w:val="24"/>
          <w:szCs w:val="24"/>
          <w:lang w:val="en-US" w:eastAsia="zh-CN"/>
        </w:rPr>
        <w:t>三、最高最佳利用分析</w:t>
      </w:r>
      <w:bookmarkEnd w:id="28"/>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bookmarkStart w:id="29" w:name="_Toc491635392"/>
      <w:bookmarkStart w:id="30" w:name="_Toc7741"/>
      <w:r>
        <w:rPr>
          <w:rFonts w:hint="eastAsia" w:ascii="Times New Roman" w:hAnsi="Times New Roman" w:eastAsia="宋体" w:cs="Times New Roman"/>
          <w:sz w:val="24"/>
          <w:szCs w:val="24"/>
        </w:rPr>
        <w:t>最高最佳使用是在合法的前提下，技术上可能、经济上可行，能使估价对象产生最高价值的使用方式。根据委托方提供的资料及估价人员现场查勘，我们认为委估对象按规划条件进行开发为最高最佳使用。</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最高最佳使用分析真正体现了估价的客观性。衡量、判断委托估价的房地产是否处于最优使用状态主要从下列几方面判断。</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1、在法律上允许（规划及相关政策法规许可）的前提下：即不受现时使用状况的限制，而依照法律规章、规划发展的方向按照其可能的最优用途估价。</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2、在技术上可行：即不能把技术上无法做到的使用当作最高最佳使用。要按照房屋建筑工程方面的技术要求进行估价。</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3、在经济上可行：即估价价格应是各种可能的使用方式中以经济上有限的投入而能获得最大收益的使用方式的估价结果。</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4、价值最大性</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使评估对象的价值在具有经济可行性的使用方式中达到最大的一种。</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5、土地与建筑物的均衡性。即以房地产内部构成要素的组合是否均衡来判定。估价时，把建筑物与土地区位是否相匹配，是否具有投资集约度的因素考虑进去。</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6、与外部环境的协调性。应按房地产与其周围环境相协调，能获得最佳外部经济效益的用途估价。</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7、可持续发展性。按可持续发展的观点确定的使用，即研究房地产市场的发展变动趋势、使未来利益最大化的使用方式。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根据上述标准判定，从设计及使用情况看，维持现状、继续使用为本次</w:t>
      </w:r>
      <w:r>
        <w:rPr>
          <w:rFonts w:hint="eastAsia" w:ascii="Times New Roman" w:hAnsi="Times New Roman" w:eastAsia="宋体" w:cs="Times New Roman"/>
          <w:sz w:val="24"/>
          <w:szCs w:val="24"/>
          <w:lang w:eastAsia="zh-CN"/>
        </w:rPr>
        <w:t>估价</w:t>
      </w:r>
      <w:r>
        <w:rPr>
          <w:rFonts w:hint="eastAsia" w:ascii="Times New Roman" w:hAnsi="Times New Roman" w:eastAsia="宋体" w:cs="Times New Roman"/>
          <w:sz w:val="24"/>
          <w:szCs w:val="24"/>
        </w:rPr>
        <w:t>的最高最佳用途。</w:t>
      </w:r>
    </w:p>
    <w:p>
      <w:pPr>
        <w:pStyle w:val="4"/>
        <w:keepNext w:val="0"/>
        <w:keepLines w:val="0"/>
        <w:pageBreakBefore w:val="0"/>
        <w:widowControl/>
        <w:kinsoku/>
        <w:wordWrap/>
        <w:overflowPunct/>
        <w:topLinePunct w:val="0"/>
        <w:autoSpaceDE/>
        <w:autoSpaceDN/>
        <w:bidi w:val="0"/>
        <w:adjustRightInd/>
        <w:snapToGrid/>
        <w:spacing w:before="0" w:after="0" w:line="500" w:lineRule="exact"/>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四、估价方法适用性分析</w:t>
      </w:r>
      <w:bookmarkEnd w:id="29"/>
      <w:bookmarkEnd w:id="30"/>
    </w:p>
    <w:p>
      <w:pPr>
        <w:keepNext w:val="0"/>
        <w:keepLines w:val="0"/>
        <w:pageBreakBefore w:val="0"/>
        <w:widowControl/>
        <w:numPr>
          <w:ilvl w:val="0"/>
          <w:numId w:val="19"/>
        </w:numPr>
        <w:tabs>
          <w:tab w:val="left" w:pos="6946"/>
        </w:tabs>
        <w:kinsoku/>
        <w:wordWrap/>
        <w:overflowPunct/>
        <w:topLinePunct w:val="0"/>
        <w:autoSpaceDE/>
        <w:autoSpaceDN/>
        <w:bidi w:val="0"/>
        <w:adjustRightInd/>
        <w:snapToGrid/>
        <w:spacing w:after="0" w:line="500" w:lineRule="exact"/>
        <w:ind w:firstLine="482" w:firstLineChars="200"/>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房屋建筑物及构筑物</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依据</w:t>
      </w:r>
      <w:r>
        <w:rPr>
          <w:rFonts w:hint="default" w:ascii="Times New Roman" w:hAnsi="Times New Roman" w:eastAsia="宋体" w:cs="Times New Roman"/>
          <w:sz w:val="24"/>
          <w:szCs w:val="24"/>
        </w:rPr>
        <w:t>各房屋建筑物的实际情况，</w:t>
      </w:r>
      <w:r>
        <w:rPr>
          <w:rFonts w:hint="default" w:ascii="Times New Roman" w:hAnsi="Times New Roman" w:eastAsia="宋体" w:cs="Times New Roman"/>
          <w:bCs/>
          <w:sz w:val="24"/>
          <w:szCs w:val="24"/>
        </w:rPr>
        <w:t>工业性房地产价值测算采用成本法。</w:t>
      </w:r>
    </w:p>
    <w:p>
      <w:pPr>
        <w:keepNext w:val="0"/>
        <w:keepLines w:val="0"/>
        <w:pageBreakBefore w:val="0"/>
        <w:widowControl/>
        <w:numPr>
          <w:ilvl w:val="0"/>
          <w:numId w:val="20"/>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成本法是以房地产价格各个构成部分的累加为基础，来求取房地产价值的方法。</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房屋建筑物的重置价值＝建安造价＋工程前期费用及其他费用＋资金成本</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评估价值=重置价值×成新率</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（1）确定其重置价值</w:t>
      </w:r>
    </w:p>
    <w:p>
      <w:pPr>
        <w:keepNext w:val="0"/>
        <w:keepLines w:val="0"/>
        <w:pageBreakBefore w:val="0"/>
        <w:widowControl/>
        <w:numPr>
          <w:ilvl w:val="0"/>
          <w:numId w:val="21"/>
        </w:numPr>
        <w:tabs>
          <w:tab w:val="left" w:pos="6946"/>
        </w:tabs>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评估人员结合现场勘察结果，重新编制工程量清单，按各地现行建筑工程预算定额和取费标准计算出评估基准日各个主要建筑物和具有代表性的建筑物的工程造价，并对其进行适当处理后得到建筑物建筑安装工程费的方法。 </w:t>
      </w:r>
    </w:p>
    <w:p>
      <w:pPr>
        <w:keepNext w:val="0"/>
        <w:keepLines w:val="0"/>
        <w:pageBreakBefore w:val="0"/>
        <w:widowControl/>
        <w:numPr>
          <w:ilvl w:val="0"/>
          <w:numId w:val="21"/>
        </w:numPr>
        <w:tabs>
          <w:tab w:val="left" w:pos="6946"/>
        </w:tabs>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工程前期费用及其他费用</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主要包括专业费及其他费用等</w:t>
      </w:r>
      <w:r>
        <w:rPr>
          <w:rFonts w:hint="default" w:ascii="Times New Roman" w:hAnsi="Times New Roman" w:cs="Times New Roman"/>
          <w:sz w:val="24"/>
          <w:szCs w:val="24"/>
          <w:lang w:eastAsia="zh-CN"/>
        </w:rPr>
        <w:t>。</w:t>
      </w:r>
    </w:p>
    <w:p>
      <w:pPr>
        <w:keepNext w:val="0"/>
        <w:keepLines w:val="0"/>
        <w:pageBreakBefore w:val="0"/>
        <w:widowControl/>
        <w:numPr>
          <w:ilvl w:val="0"/>
          <w:numId w:val="21"/>
        </w:numPr>
        <w:tabs>
          <w:tab w:val="left" w:pos="6946"/>
        </w:tabs>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资金成本</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根据评估基准日贷款市场报价利率（LPR），按资金在正常建设工期内均匀投入计算，计算公式为：</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资金成本＝(建安综合造价＋前期费用和其他费用×贷款市场报价利率（LPR）×正常建设工期(月)/12×1/2</w:t>
      </w:r>
    </w:p>
    <w:p>
      <w:pPr>
        <w:keepNext w:val="0"/>
        <w:keepLines w:val="0"/>
        <w:pageBreakBefore w:val="0"/>
        <w:widowControl/>
        <w:numPr>
          <w:ilvl w:val="0"/>
          <w:numId w:val="21"/>
        </w:numPr>
        <w:tabs>
          <w:tab w:val="left" w:pos="6946"/>
        </w:tabs>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重置价值</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房屋建筑物的重置价值＝建安造价＋工程前期费用及其他费用＋资金成本</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）评定房屋建筑物的成新率</w:t>
      </w:r>
    </w:p>
    <w:p>
      <w:pPr>
        <w:keepNext w:val="0"/>
        <w:keepLines w:val="0"/>
        <w:pageBreakBefore w:val="0"/>
        <w:widowControl/>
        <w:tabs>
          <w:tab w:val="left" w:pos="6946"/>
        </w:tabs>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综合成新率=勘察成新率×60%+理论成新率×40%</w:t>
      </w:r>
    </w:p>
    <w:p>
      <w:pPr>
        <w:keepNext w:val="0"/>
        <w:keepLines w:val="0"/>
        <w:pageBreakBefore w:val="0"/>
        <w:widowControl/>
        <w:numPr>
          <w:ilvl w:val="0"/>
          <w:numId w:val="19"/>
        </w:numPr>
        <w:tabs>
          <w:tab w:val="left" w:pos="6946"/>
        </w:tabs>
        <w:kinsoku/>
        <w:wordWrap/>
        <w:overflowPunct/>
        <w:topLinePunct w:val="0"/>
        <w:autoSpaceDE/>
        <w:autoSpaceDN/>
        <w:bidi w:val="0"/>
        <w:adjustRightInd/>
        <w:snapToGrid/>
        <w:spacing w:after="0" w:line="500" w:lineRule="exact"/>
        <w:ind w:firstLine="482" w:firstLineChars="200"/>
        <w:jc w:val="both"/>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eastAsia="zh-CN"/>
        </w:rPr>
        <w:t>土地使用权</w:t>
      </w:r>
    </w:p>
    <w:p>
      <w:pPr>
        <w:keepNext w:val="0"/>
        <w:keepLines w:val="0"/>
        <w:pageBreakBefore w:val="0"/>
        <w:widowControl/>
        <w:numPr>
          <w:ilvl w:val="0"/>
          <w:numId w:val="22"/>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bookmarkStart w:id="31" w:name="_Toc16672"/>
      <w:r>
        <w:rPr>
          <w:rFonts w:hint="default" w:ascii="Times New Roman" w:hAnsi="Times New Roman" w:eastAsia="宋体" w:cs="Times New Roman"/>
          <w:sz w:val="24"/>
          <w:szCs w:val="24"/>
          <w:lang w:eastAsia="zh-CN"/>
        </w:rPr>
        <w:t>市场法</w:t>
      </w:r>
      <w:r>
        <w:rPr>
          <w:rFonts w:hint="default" w:ascii="Times New Roman" w:hAnsi="Times New Roman" w:eastAsia="宋体" w:cs="Times New Roman"/>
          <w:sz w:val="24"/>
          <w:szCs w:val="24"/>
        </w:rPr>
        <w:t>指在求取一宗待评估土地价格时，根据替代原则，将待估宗地与在较近时期内已经发生了交易的类似土地交易实例进行对照比较，并依据后者已知的价格，参照该土地的交易情况、期日、区域及个别因素等差别，修正得出待估宗地在评估期日地价的一种方法。</w:t>
      </w:r>
    </w:p>
    <w:p>
      <w:pPr>
        <w:keepNext w:val="0"/>
        <w:keepLines w:val="0"/>
        <w:pageBreakBefore w:val="0"/>
        <w:widowControl/>
        <w:kinsoku/>
        <w:wordWrap/>
        <w:overflowPunct/>
        <w:topLinePunct/>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highlight w:val="none"/>
        </w:rPr>
        <w:t>测算公式：待估宗地价格=比较案例宗地价格×待估宗地交易情况指数/比较案例交易情况指数×待估宗地估价基准日地价指数/比较案例交易期日地价指数×待估宗地区域因素条件指数/比较案例区域因素条件指数×待估宗地个别因素条件指数/比较</w:t>
      </w:r>
      <w:r>
        <w:rPr>
          <w:rFonts w:hint="default" w:ascii="Times New Roman" w:hAnsi="Times New Roman" w:eastAsia="宋体" w:cs="Times New Roman"/>
          <w:color w:val="auto"/>
          <w:sz w:val="24"/>
          <w:szCs w:val="24"/>
          <w:highlight w:val="none"/>
        </w:rPr>
        <w:t>案例个别因素条件指数。</w:t>
      </w:r>
    </w:p>
    <w:p>
      <w:pPr>
        <w:keepNext w:val="0"/>
        <w:keepLines w:val="0"/>
        <w:pageBreakBefore w:val="0"/>
        <w:widowControl/>
        <w:numPr>
          <w:ilvl w:val="0"/>
          <w:numId w:val="22"/>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成本逼近法是以开发土地所耗费的各项费用之和为主要依据，再加上一定的利润、利息、应缴纳的税金和土地增值收益来确定土地价格的估价方法。其基本计算公式为：</w:t>
      </w:r>
    </w:p>
    <w:p>
      <w:pPr>
        <w:pStyle w:val="8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土地价格＝土地取得费＋相关税费＋土地开发费＋投资利息＋合理利润＋土地增值收益</w:t>
      </w:r>
    </w:p>
    <w:p>
      <w:pPr>
        <w:pStyle w:val="4"/>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firstLine="482" w:firstLineChars="20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五、估价测算过程</w:t>
      </w:r>
      <w:bookmarkEnd w:id="31"/>
    </w:p>
    <w:p>
      <w:pPr>
        <w:keepNext/>
        <w:keepLines/>
        <w:pageBreakBefore w:val="0"/>
        <w:widowControl/>
        <w:numPr>
          <w:ilvl w:val="0"/>
          <w:numId w:val="23"/>
        </w:numPr>
        <w:kinsoku/>
        <w:wordWrap/>
        <w:overflowPunct/>
        <w:topLinePunct w:val="0"/>
        <w:bidi w:val="0"/>
        <w:adjustRightInd/>
        <w:spacing w:after="0" w:line="500" w:lineRule="exact"/>
        <w:ind w:left="0" w:leftChars="0" w:firstLine="482" w:firstLineChars="200"/>
        <w:jc w:val="both"/>
        <w:outlineLvl w:val="1"/>
        <w:rPr>
          <w:rFonts w:hint="default" w:ascii="Times New Roman" w:hAnsi="Times New Roman" w:eastAsia="宋体" w:cs="Times New Roman"/>
          <w:b/>
          <w:color w:val="auto"/>
          <w:sz w:val="24"/>
          <w:szCs w:val="24"/>
          <w:highlight w:val="none"/>
          <w:lang w:eastAsia="zh-CN"/>
        </w:rPr>
      </w:pPr>
      <w:bookmarkStart w:id="32" w:name="_Toc3723"/>
      <w:bookmarkStart w:id="33" w:name="_Toc29891"/>
      <w:bookmarkStart w:id="34" w:name="_Toc455316124"/>
      <w:bookmarkStart w:id="35" w:name="_Toc487707284"/>
      <w:bookmarkStart w:id="36" w:name="_Toc487474484"/>
      <w:r>
        <w:rPr>
          <w:rFonts w:hint="default" w:ascii="Times New Roman" w:hAnsi="Times New Roman" w:eastAsia="宋体" w:cs="Times New Roman"/>
          <w:b/>
          <w:color w:val="auto"/>
          <w:sz w:val="24"/>
          <w:szCs w:val="24"/>
          <w:highlight w:val="none"/>
        </w:rPr>
        <w:t>房屋建筑物及构筑物</w:t>
      </w:r>
      <w:bookmarkEnd w:id="32"/>
      <w:bookmarkEnd w:id="33"/>
      <w:bookmarkEnd w:id="34"/>
      <w:bookmarkEnd w:id="35"/>
    </w:p>
    <w:p>
      <w:pPr>
        <w:keepNext/>
        <w:keepLines/>
        <w:pageBreakBefore w:val="0"/>
        <w:widowControl w:val="0"/>
        <w:kinsoku/>
        <w:wordWrap/>
        <w:overflowPunct/>
        <w:topLinePunct w:val="0"/>
        <w:autoSpaceDE w:val="0"/>
        <w:autoSpaceDN w:val="0"/>
        <w:bidi w:val="0"/>
        <w:adjustRightInd w:val="0"/>
        <w:snapToGrid w:val="0"/>
        <w:spacing w:after="0" w:line="500" w:lineRule="exact"/>
        <w:ind w:left="0" w:firstLine="482" w:firstLineChars="200"/>
        <w:jc w:val="both"/>
        <w:textAlignment w:val="bottom"/>
        <w:outlineLvl w:val="2"/>
        <w:rPr>
          <w:rFonts w:hint="default" w:ascii="Times New Roman" w:hAnsi="Times New Roman" w:eastAsia="宋体" w:cs="Times New Roman"/>
          <w:b/>
          <w:color w:val="auto"/>
          <w:kern w:val="0"/>
          <w:sz w:val="24"/>
          <w:szCs w:val="24"/>
          <w:highlight w:val="none"/>
          <w:lang w:val="en-US" w:eastAsia="zh-CN"/>
        </w:rPr>
      </w:pPr>
      <w:r>
        <w:rPr>
          <w:rFonts w:hint="default" w:ascii="Times New Roman" w:hAnsi="Times New Roman" w:eastAsia="宋体" w:cs="Times New Roman"/>
          <w:b/>
          <w:color w:val="auto"/>
          <w:kern w:val="0"/>
          <w:sz w:val="24"/>
          <w:szCs w:val="24"/>
          <w:highlight w:val="none"/>
        </w:rPr>
        <w:t>【案例</w:t>
      </w:r>
      <w:r>
        <w:rPr>
          <w:rFonts w:hint="default" w:ascii="Times New Roman" w:hAnsi="Times New Roman" w:eastAsia="宋体" w:cs="Times New Roman"/>
          <w:b/>
          <w:color w:val="auto"/>
          <w:kern w:val="0"/>
          <w:sz w:val="24"/>
          <w:szCs w:val="24"/>
          <w:highlight w:val="none"/>
          <w:lang w:eastAsia="zh-CN"/>
        </w:rPr>
        <w:t>一</w:t>
      </w:r>
      <w:r>
        <w:rPr>
          <w:rFonts w:hint="default" w:ascii="Times New Roman" w:hAnsi="Times New Roman" w:eastAsia="宋体" w:cs="Times New Roman"/>
          <w:b/>
          <w:color w:val="auto"/>
          <w:kern w:val="0"/>
          <w:sz w:val="24"/>
          <w:szCs w:val="24"/>
          <w:highlight w:val="none"/>
        </w:rPr>
        <w:t>】</w:t>
      </w:r>
      <w:r>
        <w:rPr>
          <w:rFonts w:hint="default" w:ascii="Times New Roman" w:hAnsi="Times New Roman" w:cs="Times New Roman"/>
          <w:b/>
          <w:color w:val="auto"/>
          <w:kern w:val="0"/>
          <w:sz w:val="24"/>
          <w:szCs w:val="24"/>
          <w:highlight w:val="none"/>
          <w:lang w:eastAsia="zh-CN"/>
        </w:rPr>
        <w:t>资产</w:t>
      </w:r>
      <w:r>
        <w:rPr>
          <w:rFonts w:hint="default" w:ascii="Times New Roman" w:hAnsi="Times New Roman" w:eastAsia="宋体" w:cs="Times New Roman"/>
          <w:b/>
          <w:color w:val="auto"/>
          <w:kern w:val="0"/>
          <w:sz w:val="24"/>
          <w:szCs w:val="24"/>
          <w:highlight w:val="none"/>
        </w:rPr>
        <w:t>基本信息</w:t>
      </w:r>
      <w:r>
        <w:rPr>
          <w:rFonts w:hint="default" w:ascii="Times New Roman" w:hAnsi="Times New Roman" w:cs="Times New Roman"/>
          <w:b/>
          <w:color w:val="auto"/>
          <w:kern w:val="0"/>
          <w:sz w:val="24"/>
          <w:szCs w:val="24"/>
          <w:highlight w:val="none"/>
          <w:lang w:eastAsia="zh-CN"/>
        </w:rPr>
        <w:t>表</w:t>
      </w:r>
      <w:r>
        <w:rPr>
          <w:rFonts w:hint="default" w:ascii="Times New Roman" w:hAnsi="Times New Roman" w:cs="Times New Roman"/>
          <w:b/>
          <w:color w:val="auto"/>
          <w:kern w:val="0"/>
          <w:sz w:val="24"/>
          <w:szCs w:val="24"/>
          <w:highlight w:val="none"/>
          <w:lang w:val="en-US" w:eastAsia="zh-CN"/>
        </w:rPr>
        <w:t xml:space="preserve"> 序号</w:t>
      </w:r>
      <w:r>
        <w:rPr>
          <w:rFonts w:hint="eastAsia" w:ascii="Times New Roman" w:hAnsi="Times New Roman" w:cs="Times New Roman"/>
          <w:b/>
          <w:color w:val="auto"/>
          <w:kern w:val="0"/>
          <w:sz w:val="24"/>
          <w:szCs w:val="24"/>
          <w:highlight w:val="none"/>
          <w:lang w:val="en-US" w:eastAsia="zh-CN"/>
        </w:rPr>
        <w:t>1</w:t>
      </w:r>
    </w:p>
    <w:p>
      <w:pPr>
        <w:pageBreakBefore w:val="0"/>
        <w:widowControl/>
        <w:kinsoku/>
        <w:wordWrap/>
        <w:overflowPunct/>
        <w:topLinePunct w:val="0"/>
        <w:bidi w:val="0"/>
        <w:adjustRightInd/>
        <w:snapToGrid w:val="0"/>
        <w:spacing w:after="0" w:line="500" w:lineRule="exact"/>
        <w:ind w:firstLine="480" w:firstLineChars="200"/>
        <w:jc w:val="both"/>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b w:val="0"/>
          <w:bCs/>
          <w:sz w:val="24"/>
          <w:szCs w:val="24"/>
          <w:highlight w:val="none"/>
          <w:lang w:val="en-US" w:eastAsia="zh-CN"/>
        </w:rPr>
        <w:t>委估对象位于海阳市东村工业园区。用途工业厂房，结构为</w:t>
      </w:r>
      <w:r>
        <w:rPr>
          <w:rFonts w:hint="default" w:ascii="Times New Roman" w:hAnsi="Times New Roman" w:cs="Times New Roman"/>
          <w:b w:val="0"/>
          <w:bCs/>
          <w:sz w:val="24"/>
          <w:szCs w:val="24"/>
          <w:highlight w:val="none"/>
          <w:lang w:val="en-US" w:eastAsia="zh-CN"/>
        </w:rPr>
        <w:t>钢</w:t>
      </w:r>
      <w:r>
        <w:rPr>
          <w:rFonts w:hint="default" w:ascii="Times New Roman" w:hAnsi="Times New Roman" w:eastAsia="宋体" w:cs="Times New Roman"/>
          <w:b w:val="0"/>
          <w:bCs/>
          <w:sz w:val="24"/>
          <w:szCs w:val="24"/>
          <w:highlight w:val="none"/>
          <w:lang w:val="en-US" w:eastAsia="zh-CN"/>
        </w:rPr>
        <w:t>结构，已办理了《</w:t>
      </w:r>
      <w:r>
        <w:rPr>
          <w:rFonts w:hint="default" w:ascii="Times New Roman" w:hAnsi="Times New Roman" w:cs="Times New Roman"/>
          <w:b w:val="0"/>
          <w:bCs/>
          <w:sz w:val="24"/>
          <w:szCs w:val="24"/>
          <w:highlight w:val="none"/>
          <w:lang w:val="en-US" w:eastAsia="zh-CN"/>
        </w:rPr>
        <w:t>房屋所有权证</w:t>
      </w:r>
      <w:r>
        <w:rPr>
          <w:rFonts w:hint="default" w:ascii="Times New Roman" w:hAnsi="Times New Roman" w:eastAsia="宋体" w:cs="Times New Roman"/>
          <w:b w:val="0"/>
          <w:bCs/>
          <w:sz w:val="24"/>
          <w:szCs w:val="24"/>
          <w:highlight w:val="none"/>
          <w:lang w:val="en-US" w:eastAsia="zh-CN"/>
        </w:rPr>
        <w:t>》，证号为海房权证东村字第023159号，证载所有权人为</w:t>
      </w:r>
      <w:r>
        <w:rPr>
          <w:rFonts w:hint="eastAsia" w:ascii="Times New Roman" w:hAnsi="Times New Roman" w:cs="Times New Roman"/>
          <w:b w:val="0"/>
          <w:bCs/>
          <w:sz w:val="24"/>
          <w:szCs w:val="24"/>
          <w:highlight w:val="none"/>
          <w:lang w:val="en-US" w:eastAsia="zh-CN"/>
        </w:rPr>
        <w:t>烟台市永旺钢材城有限责任公司</w:t>
      </w:r>
      <w:r>
        <w:rPr>
          <w:rFonts w:hint="default" w:ascii="Times New Roman" w:hAnsi="Times New Roman" w:eastAsia="宋体" w:cs="Times New Roman"/>
          <w:b w:val="0"/>
          <w:bCs/>
          <w:sz w:val="24"/>
          <w:szCs w:val="24"/>
          <w:highlight w:val="none"/>
          <w:lang w:val="en-US" w:eastAsia="zh-CN"/>
        </w:rPr>
        <w:t>，总建筑面积</w:t>
      </w:r>
      <w:r>
        <w:rPr>
          <w:rFonts w:hint="eastAsia" w:ascii="Times New Roman" w:hAnsi="Times New Roman" w:cs="Times New Roman"/>
          <w:b w:val="0"/>
          <w:bCs/>
          <w:sz w:val="24"/>
          <w:szCs w:val="24"/>
          <w:highlight w:val="none"/>
          <w:lang w:val="en-US" w:eastAsia="zh-CN"/>
        </w:rPr>
        <w:t>2,584.85</w:t>
      </w:r>
      <w:r>
        <w:rPr>
          <w:rFonts w:hint="default" w:ascii="Times New Roman" w:hAnsi="Times New Roman" w:eastAsia="宋体" w:cs="Times New Roman"/>
          <w:b w:val="0"/>
          <w:bCs/>
          <w:sz w:val="24"/>
          <w:szCs w:val="24"/>
          <w:highlight w:val="none"/>
          <w:lang w:val="en-US" w:eastAsia="zh-CN"/>
        </w:rPr>
        <w:t>㎡。房屋建成于</w:t>
      </w:r>
      <w:r>
        <w:rPr>
          <w:rFonts w:hint="eastAsia" w:ascii="Times New Roman" w:hAnsi="Times New Roman" w:cs="Times New Roman"/>
          <w:b w:val="0"/>
          <w:bCs/>
          <w:sz w:val="24"/>
          <w:szCs w:val="24"/>
          <w:highlight w:val="none"/>
          <w:lang w:val="en-US" w:eastAsia="zh-CN"/>
        </w:rPr>
        <w:t>2015</w:t>
      </w:r>
      <w:r>
        <w:rPr>
          <w:rFonts w:hint="default" w:ascii="Times New Roman" w:hAnsi="Times New Roman" w:eastAsia="宋体" w:cs="Times New Roman"/>
          <w:b w:val="0"/>
          <w:bCs/>
          <w:sz w:val="24"/>
          <w:szCs w:val="24"/>
          <w:highlight w:val="none"/>
          <w:lang w:val="en-US" w:eastAsia="zh-CN"/>
        </w:rPr>
        <w:t>年，维护保养状况较好</w:t>
      </w:r>
      <w:r>
        <w:rPr>
          <w:rFonts w:hint="default" w:ascii="Times New Roman" w:hAnsi="Times New Roman" w:cs="Times New Roman"/>
          <w:b w:val="0"/>
          <w:bCs/>
          <w:sz w:val="24"/>
          <w:szCs w:val="24"/>
          <w:highlight w:val="none"/>
          <w:lang w:val="en-US" w:eastAsia="zh-CN"/>
        </w:rPr>
        <w:t>,目前正常使用</w:t>
      </w:r>
      <w:r>
        <w:rPr>
          <w:rFonts w:hint="default" w:ascii="Times New Roman" w:hAnsi="Times New Roman" w:eastAsia="宋体" w:cs="Times New Roman"/>
          <w:b w:val="0"/>
          <w:bCs/>
          <w:sz w:val="24"/>
          <w:szCs w:val="24"/>
          <w:highlight w:val="none"/>
          <w:lang w:val="en-US" w:eastAsia="zh-CN"/>
        </w:rPr>
        <w:t>。</w:t>
      </w:r>
    </w:p>
    <w:bookmarkEnd w:id="36"/>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1．重置价值的确定</w:t>
      </w:r>
    </w:p>
    <w:p>
      <w:pPr>
        <w:keepNext w:val="0"/>
        <w:keepLines w:val="0"/>
        <w:pageBreakBefore w:val="0"/>
        <w:widowControl w:val="0"/>
        <w:numPr>
          <w:ilvl w:val="0"/>
          <w:numId w:val="24"/>
        </w:numPr>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z w:val="24"/>
          <w:szCs w:val="24"/>
          <w:highlight w:val="none"/>
        </w:rPr>
        <w:t>建安工程造价费</w:t>
      </w:r>
      <w:r>
        <w:rPr>
          <w:rFonts w:hint="default" w:ascii="Times New Roman" w:hAnsi="Times New Roman" w:eastAsia="宋体" w:cs="Times New Roman"/>
          <w:snapToGrid w:val="0"/>
          <w:sz w:val="24"/>
          <w:szCs w:val="24"/>
          <w:highlight w:val="none"/>
        </w:rPr>
        <w:t>根据《山东省安装工程消耗量定额》</w:t>
      </w:r>
      <w:r>
        <w:rPr>
          <w:rFonts w:hint="default" w:ascii="Times New Roman" w:hAnsi="Times New Roman" w:eastAsia="宋体" w:cs="Times New Roman"/>
          <w:snapToGrid w:val="0"/>
          <w:sz w:val="24"/>
          <w:szCs w:val="24"/>
          <w:highlight w:val="none"/>
          <w:lang w:eastAsia="zh-CN"/>
        </w:rPr>
        <w:t>中</w:t>
      </w:r>
      <w:r>
        <w:rPr>
          <w:rFonts w:hint="default" w:ascii="Times New Roman" w:hAnsi="Times New Roman" w:eastAsia="宋体" w:cs="Times New Roman"/>
          <w:snapToGrid w:val="0"/>
          <w:sz w:val="24"/>
          <w:szCs w:val="24"/>
          <w:highlight w:val="none"/>
        </w:rPr>
        <w:t>《</w:t>
      </w:r>
      <w:r>
        <w:rPr>
          <w:rFonts w:hint="default" w:ascii="Times New Roman" w:hAnsi="Times New Roman" w:cs="Times New Roman"/>
          <w:snapToGrid w:val="0"/>
          <w:sz w:val="24"/>
          <w:szCs w:val="24"/>
          <w:highlight w:val="none"/>
          <w:lang w:eastAsia="zh-CN"/>
        </w:rPr>
        <w:t>烟台市</w:t>
      </w:r>
      <w:r>
        <w:rPr>
          <w:rFonts w:hint="default" w:ascii="Times New Roman" w:hAnsi="Times New Roman" w:eastAsia="宋体" w:cs="Times New Roman"/>
          <w:snapToGrid w:val="0"/>
          <w:sz w:val="24"/>
          <w:szCs w:val="24"/>
          <w:highlight w:val="none"/>
        </w:rPr>
        <w:t>价目表》和《山东省建筑工程消耗量定额》</w:t>
      </w:r>
      <w:r>
        <w:rPr>
          <w:rFonts w:hint="default" w:ascii="Times New Roman" w:hAnsi="Times New Roman" w:eastAsia="宋体" w:cs="Times New Roman"/>
          <w:snapToGrid w:val="0"/>
          <w:sz w:val="24"/>
          <w:szCs w:val="24"/>
          <w:highlight w:val="none"/>
          <w:lang w:eastAsia="zh-CN"/>
        </w:rPr>
        <w:t>中</w:t>
      </w:r>
      <w:r>
        <w:rPr>
          <w:rFonts w:hint="default" w:ascii="Times New Roman" w:hAnsi="Times New Roman" w:eastAsia="宋体" w:cs="Times New Roman"/>
          <w:snapToGrid w:val="0"/>
          <w:sz w:val="24"/>
          <w:szCs w:val="24"/>
          <w:highlight w:val="none"/>
        </w:rPr>
        <w:t>《</w:t>
      </w:r>
      <w:r>
        <w:rPr>
          <w:rFonts w:hint="default" w:ascii="Times New Roman" w:hAnsi="Times New Roman" w:cs="Times New Roman"/>
          <w:snapToGrid w:val="0"/>
          <w:sz w:val="24"/>
          <w:szCs w:val="24"/>
          <w:highlight w:val="none"/>
          <w:lang w:eastAsia="zh-CN"/>
        </w:rPr>
        <w:t>烟台市</w:t>
      </w:r>
      <w:r>
        <w:rPr>
          <w:rFonts w:hint="default" w:ascii="Times New Roman" w:hAnsi="Times New Roman" w:eastAsia="宋体" w:cs="Times New Roman"/>
          <w:snapToGrid w:val="0"/>
          <w:sz w:val="24"/>
          <w:szCs w:val="24"/>
          <w:highlight w:val="none"/>
        </w:rPr>
        <w:t>价目表》及地方费率标准，采用</w:t>
      </w:r>
      <w:r>
        <w:rPr>
          <w:rFonts w:hint="default" w:ascii="Times New Roman" w:hAnsi="Times New Roman" w:cs="Times New Roman"/>
          <w:snapToGrid w:val="0"/>
          <w:sz w:val="24"/>
          <w:szCs w:val="24"/>
          <w:highlight w:val="none"/>
          <w:lang w:eastAsia="zh-CN"/>
        </w:rPr>
        <w:t>烟台市</w:t>
      </w:r>
      <w:r>
        <w:rPr>
          <w:rFonts w:hint="default" w:ascii="Times New Roman" w:hAnsi="Times New Roman" w:eastAsia="宋体" w:cs="Times New Roman"/>
          <w:snapToGrid w:val="0"/>
          <w:sz w:val="24"/>
          <w:szCs w:val="24"/>
          <w:highlight w:val="none"/>
        </w:rPr>
        <w:t>现行的人工、材料价格，重新编制预算，按Ⅲ类工业建筑工程，丙级施工企业考虑，计算了建筑物造价</w:t>
      </w:r>
      <w:r>
        <w:rPr>
          <w:rFonts w:hint="default" w:ascii="Times New Roman" w:hAnsi="Times New Roman" w:eastAsia="宋体" w:cs="Times New Roman"/>
          <w:snapToGrid w:val="0"/>
          <w:sz w:val="24"/>
          <w:szCs w:val="24"/>
          <w:highlight w:val="none"/>
          <w:lang w:eastAsia="zh-CN"/>
        </w:rPr>
        <w:t>单价</w:t>
      </w:r>
      <w:r>
        <w:rPr>
          <w:rFonts w:hint="default" w:ascii="Times New Roman" w:hAnsi="Times New Roman" w:eastAsia="宋体" w:cs="Times New Roman"/>
          <w:snapToGrid w:val="0"/>
          <w:sz w:val="24"/>
          <w:szCs w:val="24"/>
          <w:highlight w:val="none"/>
        </w:rPr>
        <w:t>，详见下表。</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jc w:val="center"/>
        <w:textAlignment w:val="auto"/>
        <w:rPr>
          <w:rFonts w:hint="default" w:ascii="Times New Roman" w:hAnsi="Times New Roman" w:cs="Times New Roman"/>
          <w:snapToGrid w:val="0"/>
          <w:sz w:val="24"/>
          <w:szCs w:val="24"/>
          <w:highlight w:val="none"/>
        </w:rPr>
      </w:pPr>
      <w:r>
        <w:rPr>
          <w:rFonts w:hint="default" w:ascii="Times New Roman" w:hAnsi="Times New Roman" w:cs="Times New Roman"/>
          <w:snapToGrid w:val="0"/>
          <w:sz w:val="24"/>
          <w:szCs w:val="24"/>
          <w:highlight w:val="none"/>
        </w:rPr>
        <w:t>建筑工程费用表</w:t>
      </w:r>
    </w:p>
    <w:p>
      <w:pPr>
        <w:keepNext w:val="0"/>
        <w:keepLines w:val="0"/>
        <w:pageBreakBefore w:val="0"/>
        <w:widowControl/>
        <w:kinsoku/>
        <w:wordWrap/>
        <w:overflowPunct/>
        <w:topLinePunct w:val="0"/>
        <w:autoSpaceDE/>
        <w:autoSpaceDN/>
        <w:bidi w:val="0"/>
        <w:adjustRightInd/>
        <w:snapToGrid/>
        <w:spacing w:after="0" w:line="400" w:lineRule="exact"/>
        <w:jc w:val="right"/>
        <w:textAlignment w:val="auto"/>
        <w:rPr>
          <w:rFonts w:hint="default" w:ascii="Times New Roman" w:hAnsi="Times New Roman" w:cs="Times New Roman"/>
          <w:snapToGrid w:val="0"/>
          <w:sz w:val="22"/>
          <w:highlight w:val="none"/>
        </w:rPr>
      </w:pPr>
      <w:r>
        <w:rPr>
          <w:rFonts w:hint="default" w:ascii="Times New Roman" w:hAnsi="Times New Roman" w:cs="Times New Roman"/>
          <w:snapToGrid w:val="0"/>
          <w:sz w:val="22"/>
          <w:highlight w:val="none"/>
        </w:rPr>
        <w:t>单位：人民币元</w:t>
      </w:r>
    </w:p>
    <w:tbl>
      <w:tblPr>
        <w:tblStyle w:val="36"/>
        <w:tblW w:w="5001"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autofit"/>
        <w:tblCellMar>
          <w:top w:w="0" w:type="dxa"/>
          <w:left w:w="0" w:type="dxa"/>
          <w:bottom w:w="0" w:type="dxa"/>
          <w:right w:w="0" w:type="dxa"/>
        </w:tblCellMar>
      </w:tblPr>
      <w:tblGrid>
        <w:gridCol w:w="583"/>
        <w:gridCol w:w="2502"/>
        <w:gridCol w:w="624"/>
        <w:gridCol w:w="4040"/>
        <w:gridCol w:w="1241"/>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序号</w:t>
            </w: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费用名称</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费率</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计费基础、方法</w:t>
            </w:r>
          </w:p>
        </w:tc>
        <w:tc>
          <w:tcPr>
            <w:tcW w:w="690"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金额</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1025" w:hRule="exact"/>
        </w:trPr>
        <w:tc>
          <w:tcPr>
            <w:tcW w:w="324"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w:t>
            </w: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分部分项工程费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∑{[定额∑（工日消耗量×人工单价）+∑（材料消耗量×材料单价）+∑（机械台班消耗量×台班单价）]×分部分项工程量}</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1,033,940.00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775"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计费基础JD1</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分部分项工程的省价人工费之和</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206,788.00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二</w:t>
            </w: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措施项目费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2.1+2.2</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280,383.84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985"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2.1单价措施费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∑{[定额∑（工日消耗量×人工单价）+∑（材料消耗量×材料单价）+∑（机械台班消耗量×台班单价）]×单价措施项目工程量}</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264,275.06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2.2总价措施费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7.79%</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16,108.78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2.2.1夜间施工费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2.55%</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5,273.09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2.2.2二次搬运费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2.18%</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4,507.98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2.2.3冬雨季施工增加费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2.91%</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6,017.53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2.2.4已完工程及设备保护费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0.15%</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310.18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662"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计费基础JD2</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单价措施项目的省价人工费之和+总价措施费中的省价人工费之和</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56,835.68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三</w:t>
            </w: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其他项目费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3.1+3.3+·······+3.8</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103,394.00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3.1暂列金额</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10.00%</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暂列金额，一般可按分部分项工程费的10%～15%估列</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103,394.00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3.2专业工程暂估价</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3.3特殊项目暂估价</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3.4计日工</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3.5采购保管费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3.6其他检验试验费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3.7总承包服务费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3.00%</w:t>
            </w:r>
          </w:p>
        </w:tc>
        <w:tc>
          <w:tcPr>
            <w:tcW w:w="2246"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专业工程暂估价（不含设备费）×相应费率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3.8其他</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四</w:t>
            </w: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企业管理费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25.60%</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(JD1+JD2)×管理费费率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67,487.66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五</w:t>
            </w: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利润</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15.00%</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(JD1+JD2)×利润率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39,543.55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六</w:t>
            </w: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规费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9.70%</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4.1+4.2+4.3+4.4+4.5</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147,824.42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4.1安全文明施工费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4.47%</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（一+二+三+四+五）×费率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68,156.28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4.2社会保险费</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1.52%</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（一+二+三+四+五）×费率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23,176.19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4.3住房公积金</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3.60%</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按工程所在地设区市相关规定计算</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54,890.97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4.环境保护税</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0.150%</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按工程所在地设区市相关规定计算</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2,287.12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4.5建设项目工伤保险</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0.105%</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按工程所在地设区市相关规定计算</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1,600.99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七</w:t>
            </w: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税金</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9.00%</w:t>
            </w: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（一+二+三+四+五+六+七）×税率</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150,531.61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24"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八</w:t>
            </w:r>
          </w:p>
        </w:tc>
        <w:tc>
          <w:tcPr>
            <w:tcW w:w="139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工程费用合计</w:t>
            </w:r>
          </w:p>
        </w:tc>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246"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一+二+三+四+五+六+七+八</w:t>
            </w:r>
          </w:p>
        </w:tc>
        <w:tc>
          <w:tcPr>
            <w:tcW w:w="1241" w:type="dxa"/>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1,823,105.08 </w:t>
            </w:r>
          </w:p>
        </w:tc>
      </w:tr>
    </w:tbl>
    <w:p>
      <w:pPr>
        <w:keepNext w:val="0"/>
        <w:keepLines w:val="0"/>
        <w:pageBreakBefore w:val="0"/>
        <w:widowControl/>
        <w:kinsoku/>
        <w:wordWrap/>
        <w:overflowPunct/>
        <w:topLinePunct w:val="0"/>
        <w:autoSpaceDE/>
        <w:autoSpaceDN/>
        <w:bidi w:val="0"/>
        <w:adjustRightInd/>
        <w:snapToGrid/>
        <w:spacing w:before="120" w:beforeLines="50" w:after="0" w:line="400" w:lineRule="exact"/>
        <w:ind w:firstLine="567"/>
        <w:jc w:val="center"/>
        <w:textAlignment w:val="auto"/>
        <w:rPr>
          <w:rFonts w:hint="default" w:ascii="Times New Roman" w:hAnsi="Times New Roman" w:cs="Times New Roman"/>
          <w:snapToGrid w:val="0"/>
          <w:sz w:val="24"/>
          <w:szCs w:val="24"/>
          <w:highlight w:val="none"/>
        </w:rPr>
      </w:pPr>
      <w:r>
        <w:rPr>
          <w:rFonts w:hint="default" w:ascii="Times New Roman" w:hAnsi="Times New Roman" w:cs="Times New Roman"/>
          <w:snapToGrid w:val="0"/>
          <w:sz w:val="24"/>
          <w:szCs w:val="24"/>
          <w:highlight w:val="none"/>
        </w:rPr>
        <w:t>装饰装修工程费用表</w:t>
      </w:r>
    </w:p>
    <w:p>
      <w:pPr>
        <w:keepNext w:val="0"/>
        <w:keepLines w:val="0"/>
        <w:pageBreakBefore w:val="0"/>
        <w:widowControl/>
        <w:kinsoku/>
        <w:wordWrap/>
        <w:overflowPunct/>
        <w:topLinePunct w:val="0"/>
        <w:autoSpaceDE/>
        <w:autoSpaceDN/>
        <w:bidi w:val="0"/>
        <w:adjustRightInd/>
        <w:snapToGrid/>
        <w:spacing w:after="0" w:line="400" w:lineRule="exact"/>
        <w:ind w:firstLine="567"/>
        <w:jc w:val="right"/>
        <w:textAlignment w:val="auto"/>
        <w:rPr>
          <w:rFonts w:hint="default" w:ascii="Times New Roman" w:hAnsi="Times New Roman" w:cs="Times New Roman"/>
          <w:snapToGrid w:val="0"/>
          <w:highlight w:val="none"/>
        </w:rPr>
      </w:pPr>
      <w:r>
        <w:rPr>
          <w:rFonts w:hint="default" w:ascii="Times New Roman" w:hAnsi="Times New Roman" w:cs="Times New Roman"/>
          <w:snapToGrid w:val="0"/>
          <w:highlight w:val="none"/>
        </w:rPr>
        <w:t>单位：人民币元</w:t>
      </w:r>
    </w:p>
    <w:tbl>
      <w:tblPr>
        <w:tblStyle w:val="36"/>
        <w:tblW w:w="4923"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autofit"/>
        <w:tblCellMar>
          <w:top w:w="0" w:type="dxa"/>
          <w:left w:w="0" w:type="dxa"/>
          <w:bottom w:w="0" w:type="dxa"/>
          <w:right w:w="0" w:type="dxa"/>
        </w:tblCellMar>
      </w:tblPr>
      <w:tblGrid>
        <w:gridCol w:w="658"/>
        <w:gridCol w:w="2385"/>
        <w:gridCol w:w="969"/>
        <w:gridCol w:w="3586"/>
        <w:gridCol w:w="1252"/>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序号</w:t>
            </w: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费用名称</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费率</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费用说明</w:t>
            </w:r>
          </w:p>
        </w:tc>
        <w:tc>
          <w:tcPr>
            <w:tcW w:w="70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金额</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1079" w:hRule="exact"/>
        </w:trPr>
        <w:tc>
          <w:tcPr>
            <w:tcW w:w="372"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w:t>
            </w: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分部分项工程费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∑{[定额∑（工日消耗量×人工单价）+∑（材料消耗量×材料单价）+∑（机械台班消耗量×台班单价）]×分部分项工程量}</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129,242.50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71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计费基础JD1</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分部分项工程的省价人工费之和</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32,310.63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二</w:t>
            </w: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措施项目费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2.1+2.2</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36,811.50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1017"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2.1单价措施费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∑{[定额∑（工日消耗量×人工单价）+∑（材料消耗量×材料单价）+∑（机械台班消耗量×台班单价）]×单价措施项目工程量}</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33,034.38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2.2总价措施费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11.69%</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3,777.12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2.2.1夜间施工费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3.64%</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1,176.11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2.2.2二次搬运费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3.80%</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1,227.80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2.2.3冬雨季施工增加费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4.10%</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1,324.74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748"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2.2.4已完工程及设备保护费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0.15%</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48.47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1022"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计费基础JD2</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单价措施项目的省价人工费之和+总价措施费中的省价人工费之和</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9,195.61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三</w:t>
            </w: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其他项目费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3.1+3.3+·······+3.8</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12,924.25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663"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3.1暂列金额</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10.00%</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暂列金额，一般可按分部分项工程费的10%～15%估列</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12,924.25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3.2专业工程暂估价</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3.3特殊项目暂估价</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3.4计日工</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3.5采购保管费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3.6其他检验试验费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3.7总承包服务费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3.00%</w:t>
            </w:r>
          </w:p>
        </w:tc>
        <w:tc>
          <w:tcPr>
            <w:tcW w:w="2025"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专业工程暂估价（不含设备费）×相应费率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3.8其他</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四</w:t>
            </w: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企业管理费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32.20%</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(JD1+JD2)×管理费费率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13,365.01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五</w:t>
            </w: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利润</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17.30%</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(JD1+JD2)×利润率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7,180.58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六</w:t>
            </w: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规费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9.38%</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4.1+4.2+4.3+4.4+4.5</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18,705.36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4.1安全文明施工费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4.15%</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（一+二+三+四+五）×费率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8,280.24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4.2社会保险费</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1.52%</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（一+二+三+四+五）×费率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3,032.76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4.3住房公积金</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3.60%</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按工程所在地设区市相关规定计算</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7,182.86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4.环境保护税</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0.150%</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按工程所在地设区市相关规定计算</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299.29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4.5建设项目工伤保险</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0.105%</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按工程所在地设区市相关规定计算</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209.50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七</w:t>
            </w: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税金</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9.00%</w:t>
            </w: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（一+二+三+四+五+六+七）×税率</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19,640.63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0" w:hRule="exact"/>
        </w:trPr>
        <w:tc>
          <w:tcPr>
            <w:tcW w:w="372"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八</w:t>
            </w:r>
          </w:p>
        </w:tc>
        <w:tc>
          <w:tcPr>
            <w:tcW w:w="1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工程费用合计</w:t>
            </w:r>
          </w:p>
        </w:tc>
        <w:tc>
          <w:tcPr>
            <w:tcW w:w="5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25"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一+二+三+四+五+六+七+八</w:t>
            </w:r>
          </w:p>
        </w:tc>
        <w:tc>
          <w:tcPr>
            <w:tcW w:w="125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237,869.83 </w:t>
            </w:r>
          </w:p>
        </w:tc>
      </w:tr>
    </w:tbl>
    <w:p>
      <w:pPr>
        <w:keepNext w:val="0"/>
        <w:keepLines w:val="0"/>
        <w:pageBreakBefore w:val="0"/>
        <w:widowControl/>
        <w:kinsoku/>
        <w:wordWrap/>
        <w:overflowPunct/>
        <w:topLinePunct w:val="0"/>
        <w:autoSpaceDE/>
        <w:autoSpaceDN/>
        <w:bidi w:val="0"/>
        <w:adjustRightInd/>
        <w:snapToGrid/>
        <w:spacing w:before="120" w:beforeLines="50" w:after="0" w:line="400" w:lineRule="exact"/>
        <w:ind w:firstLine="567"/>
        <w:jc w:val="center"/>
        <w:textAlignment w:val="auto"/>
        <w:rPr>
          <w:rFonts w:hint="default" w:ascii="Times New Roman" w:hAnsi="Times New Roman" w:cs="Times New Roman"/>
          <w:snapToGrid w:val="0"/>
          <w:sz w:val="24"/>
          <w:szCs w:val="24"/>
          <w:highlight w:val="none"/>
        </w:rPr>
      </w:pPr>
      <w:r>
        <w:rPr>
          <w:rFonts w:hint="default" w:ascii="Times New Roman" w:hAnsi="Times New Roman" w:cs="Times New Roman"/>
          <w:snapToGrid w:val="0"/>
          <w:sz w:val="24"/>
          <w:szCs w:val="24"/>
          <w:highlight w:val="none"/>
        </w:rPr>
        <w:t>安装工程费用表</w:t>
      </w:r>
    </w:p>
    <w:p>
      <w:pPr>
        <w:keepNext w:val="0"/>
        <w:keepLines w:val="0"/>
        <w:pageBreakBefore w:val="0"/>
        <w:widowControl/>
        <w:kinsoku/>
        <w:wordWrap/>
        <w:overflowPunct/>
        <w:topLinePunct w:val="0"/>
        <w:autoSpaceDE/>
        <w:autoSpaceDN/>
        <w:bidi w:val="0"/>
        <w:adjustRightInd/>
        <w:snapToGrid/>
        <w:spacing w:after="0" w:line="400" w:lineRule="exact"/>
        <w:ind w:firstLine="567"/>
        <w:jc w:val="right"/>
        <w:textAlignment w:val="auto"/>
        <w:rPr>
          <w:rFonts w:hint="default" w:ascii="Times New Roman" w:hAnsi="Times New Roman" w:cs="Times New Roman"/>
          <w:snapToGrid w:val="0"/>
          <w:highlight w:val="none"/>
        </w:rPr>
      </w:pPr>
      <w:r>
        <w:rPr>
          <w:rFonts w:hint="default" w:ascii="Times New Roman" w:hAnsi="Times New Roman" w:cs="Times New Roman"/>
          <w:snapToGrid w:val="0"/>
          <w:highlight w:val="none"/>
        </w:rPr>
        <w:t>单位：人民币元</w:t>
      </w:r>
    </w:p>
    <w:tbl>
      <w:tblPr>
        <w:tblStyle w:val="36"/>
        <w:tblW w:w="4998"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autofit"/>
        <w:tblCellMar>
          <w:top w:w="0" w:type="dxa"/>
          <w:left w:w="0" w:type="dxa"/>
          <w:bottom w:w="0" w:type="dxa"/>
          <w:right w:w="0" w:type="dxa"/>
        </w:tblCellMar>
      </w:tblPr>
      <w:tblGrid>
        <w:gridCol w:w="624"/>
        <w:gridCol w:w="2533"/>
        <w:gridCol w:w="904"/>
        <w:gridCol w:w="3651"/>
        <w:gridCol w:w="1272"/>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序号</w:t>
            </w: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费用名称</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费率</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费用说明</w:t>
            </w:r>
          </w:p>
        </w:tc>
        <w:tc>
          <w:tcPr>
            <w:tcW w:w="70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金额</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1050" w:hRule="exact"/>
        </w:trPr>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w:t>
            </w: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分部分项工程费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∑{[定额∑（工日消耗量×人工单价）+∑（材料消耗量×材料单价）+∑（机械台班消耗量×台班单价）]×分部分项工程量}</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206,788.00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1085"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计费基础JD1</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分部分项工程的省价人工费之和</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51,697.00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二</w:t>
            </w: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措施项目费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2.1+2.2</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58,748.47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116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2.1单价措施费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∑{[定额∑（工日消耗量×人工单价）+∑（材料消耗量×材料单价）+∑（机械台班消耗量×台班单价）]×单价措施项目工程量}</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52,855.01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2.2总价措施费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11.40%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5,893.46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2.2.1夜间施工费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3.10%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1,602.61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2.2.2二次搬运费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2.70%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1,395.82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2.2.3冬雨季施工增加费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3.90%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2,016.18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2.2.4已完工程及设备保护费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1.70%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JD1×相应费率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878.85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1035"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计费基础JD2</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单价措施项目的省价人工费之和+总价措施费中的省价人工费之和</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15,599.57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三</w:t>
            </w: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其他项目费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3.1+3.3+·······+3.8</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20,678.80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3.1暂列金额</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10.00%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暂列金额，一般可按分部分项工程费的10%～15%估列</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20,678.80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3.2专业工程暂估价</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3.3特殊项目暂估价</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3.4计日工</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3.5采购保管费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3.6其他检验试验费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3.7总承包服务费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3.00%</w:t>
            </w:r>
          </w:p>
        </w:tc>
        <w:tc>
          <w:tcPr>
            <w:tcW w:w="2031"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专业工程暂估价（不含设备费）×相应费率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3.8其他</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0.00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四</w:t>
            </w: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企业管理费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51.00%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(JD1+JD2)×管理费费率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34,321.25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五</w:t>
            </w: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利润</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32.00%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(JD1+JD2)×利润率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21,534.90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六</w:t>
            </w: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规费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9.70%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4.1+4.2+4.3+4.4+4.5</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33,163.82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4.1安全文明施工费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4.47%</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（一+二+三+四+五）×费率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15,290.59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4.2社会保险费</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1.52%</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（一+二+三+四+五）×费率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5,199.49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4.3住房公积金</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3.60%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按工程所在地设区市相关规定计算</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12,314.57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4.环境保护税</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0.150%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按工程所在地设区市相关规定计算</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513.11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bottom"/>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4.5建设项目工伤保险</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0.105%</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按工程所在地设区市相关规定计算</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359.17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七</w:t>
            </w: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税金</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9.00%</w:t>
            </w: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（一+二+三+四+五+六+七）×税率</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33,771.17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20" w:hRule="exact"/>
        </w:trPr>
        <w:tc>
          <w:tcPr>
            <w:tcW w:w="347"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八</w:t>
            </w:r>
          </w:p>
        </w:tc>
        <w:tc>
          <w:tcPr>
            <w:tcW w:w="1409"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工程费用合计</w:t>
            </w:r>
          </w:p>
        </w:tc>
        <w:tc>
          <w:tcPr>
            <w:tcW w:w="503"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2031" w:type="pct"/>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一+二+三+四+五+六+七+八</w:t>
            </w:r>
          </w:p>
        </w:tc>
        <w:tc>
          <w:tcPr>
            <w:tcW w:w="1272" w:type="dxa"/>
            <w:tcBorders>
              <w:tl2br w:val="nil"/>
              <w:tr2bl w:val="nil"/>
            </w:tcBorders>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 xml:space="preserve">409,006.41 </w:t>
            </w:r>
          </w:p>
        </w:tc>
      </w:tr>
    </w:tbl>
    <w:p>
      <w:pPr>
        <w:keepNext w:val="0"/>
        <w:keepLines w:val="0"/>
        <w:pageBreakBefore w:val="0"/>
        <w:widowControl/>
        <w:kinsoku/>
        <w:wordWrap/>
        <w:overflowPunct/>
        <w:topLinePunct w:val="0"/>
        <w:autoSpaceDE/>
        <w:autoSpaceDN/>
        <w:bidi w:val="0"/>
        <w:adjustRightInd/>
        <w:snapToGrid/>
        <w:spacing w:before="145" w:beforeLines="50" w:after="0" w:line="400" w:lineRule="exact"/>
        <w:ind w:firstLine="567"/>
        <w:jc w:val="center"/>
        <w:textAlignment w:val="auto"/>
        <w:rPr>
          <w:rFonts w:hint="default" w:ascii="Times New Roman" w:hAnsi="Times New Roman" w:cs="Times New Roman"/>
          <w:snapToGrid w:val="0"/>
          <w:sz w:val="24"/>
          <w:szCs w:val="24"/>
          <w:highlight w:val="none"/>
        </w:rPr>
      </w:pPr>
      <w:r>
        <w:rPr>
          <w:rFonts w:hint="default" w:ascii="Times New Roman" w:hAnsi="Times New Roman" w:cs="Times New Roman"/>
          <w:snapToGrid w:val="0"/>
          <w:sz w:val="24"/>
          <w:szCs w:val="24"/>
          <w:highlight w:val="none"/>
        </w:rPr>
        <w:t>工程造价汇总表</w:t>
      </w:r>
    </w:p>
    <w:p>
      <w:pPr>
        <w:keepNext w:val="0"/>
        <w:keepLines w:val="0"/>
        <w:pageBreakBefore w:val="0"/>
        <w:widowControl/>
        <w:kinsoku/>
        <w:wordWrap/>
        <w:overflowPunct/>
        <w:topLinePunct w:val="0"/>
        <w:autoSpaceDE/>
        <w:autoSpaceDN/>
        <w:bidi w:val="0"/>
        <w:adjustRightInd/>
        <w:snapToGrid/>
        <w:spacing w:after="0" w:line="400" w:lineRule="exact"/>
        <w:ind w:firstLine="567"/>
        <w:jc w:val="right"/>
        <w:textAlignment w:val="auto"/>
        <w:rPr>
          <w:rFonts w:hint="default" w:ascii="Times New Roman" w:hAnsi="Times New Roman" w:cs="Times New Roman"/>
          <w:snapToGrid w:val="0"/>
          <w:highlight w:val="none"/>
        </w:rPr>
      </w:pPr>
      <w:r>
        <w:rPr>
          <w:rFonts w:hint="default" w:ascii="Times New Roman" w:hAnsi="Times New Roman" w:cs="Times New Roman"/>
          <w:snapToGrid w:val="0"/>
          <w:highlight w:val="none"/>
        </w:rPr>
        <w:t>单位：人民币元</w:t>
      </w:r>
    </w:p>
    <w:tbl>
      <w:tblPr>
        <w:tblStyle w:val="36"/>
        <w:tblW w:w="4998" w:type="pct"/>
        <w:jc w:val="center"/>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FFFFFF" w:fill="auto"/>
        <w:tblLayout w:type="autofit"/>
        <w:tblCellMar>
          <w:top w:w="0" w:type="dxa"/>
          <w:left w:w="108" w:type="dxa"/>
          <w:bottom w:w="0" w:type="dxa"/>
          <w:right w:w="108" w:type="dxa"/>
        </w:tblCellMar>
      </w:tblPr>
      <w:tblGrid>
        <w:gridCol w:w="937"/>
        <w:gridCol w:w="2739"/>
        <w:gridCol w:w="2747"/>
        <w:gridCol w:w="2747"/>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340" w:hRule="exact"/>
          <w:jc w:val="center"/>
        </w:trPr>
        <w:tc>
          <w:tcPr>
            <w:tcW w:w="511"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b/>
                <w:i w:val="0"/>
                <w:color w:val="000000"/>
                <w:kern w:val="0"/>
                <w:sz w:val="18"/>
                <w:szCs w:val="18"/>
                <w:highlight w:val="none"/>
                <w:u w:val="none"/>
                <w:lang w:val="en-US" w:eastAsia="zh-CN"/>
              </w:rPr>
              <w:t>序号</w:t>
            </w:r>
          </w:p>
        </w:tc>
        <w:tc>
          <w:tcPr>
            <w:tcW w:w="1493"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b/>
                <w:i w:val="0"/>
                <w:color w:val="000000"/>
                <w:kern w:val="0"/>
                <w:sz w:val="18"/>
                <w:szCs w:val="18"/>
                <w:highlight w:val="none"/>
                <w:u w:val="none"/>
                <w:lang w:val="en-US" w:eastAsia="zh-CN"/>
              </w:rPr>
              <w:t>项目</w:t>
            </w:r>
          </w:p>
        </w:tc>
        <w:tc>
          <w:tcPr>
            <w:tcW w:w="1497"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18"/>
                <w:szCs w:val="18"/>
                <w:highlight w:val="none"/>
                <w:u w:val="none"/>
                <w:lang w:val="en-US" w:eastAsia="zh-CN"/>
              </w:rPr>
            </w:pPr>
            <w:r>
              <w:rPr>
                <w:rFonts w:hint="default" w:ascii="Times New Roman" w:hAnsi="Times New Roman" w:eastAsia="宋体" w:cs="Times New Roman"/>
                <w:b/>
                <w:i w:val="0"/>
                <w:color w:val="000000"/>
                <w:kern w:val="0"/>
                <w:sz w:val="18"/>
                <w:szCs w:val="18"/>
                <w:highlight w:val="none"/>
                <w:u w:val="none"/>
                <w:lang w:val="en-US" w:eastAsia="zh-CN"/>
              </w:rPr>
              <w:t>金额(含税）</w:t>
            </w:r>
          </w:p>
        </w:tc>
        <w:tc>
          <w:tcPr>
            <w:tcW w:w="1497"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18"/>
                <w:szCs w:val="18"/>
                <w:highlight w:val="none"/>
                <w:u w:val="none"/>
                <w:lang w:val="en-US" w:eastAsia="zh-CN"/>
              </w:rPr>
            </w:pPr>
            <w:r>
              <w:rPr>
                <w:rFonts w:hint="default" w:ascii="Times New Roman" w:hAnsi="Times New Roman" w:eastAsia="宋体" w:cs="Times New Roman"/>
                <w:b/>
                <w:i w:val="0"/>
                <w:color w:val="000000"/>
                <w:kern w:val="0"/>
                <w:sz w:val="18"/>
                <w:szCs w:val="18"/>
                <w:highlight w:val="none"/>
                <w:u w:val="none"/>
                <w:lang w:val="en-US" w:eastAsia="zh-CN"/>
              </w:rPr>
              <w:t>金额（不含税）</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FFFFFF" w:fill="auto"/>
          <w:tblCellMar>
            <w:top w:w="0" w:type="dxa"/>
            <w:left w:w="108" w:type="dxa"/>
            <w:bottom w:w="0" w:type="dxa"/>
            <w:right w:w="108" w:type="dxa"/>
          </w:tblCellMar>
        </w:tblPrEx>
        <w:trPr>
          <w:trHeight w:val="340" w:hRule="exact"/>
          <w:jc w:val="center"/>
        </w:trPr>
        <w:tc>
          <w:tcPr>
            <w:tcW w:w="511"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rPr>
              <w:t>一</w:t>
            </w:r>
          </w:p>
        </w:tc>
        <w:tc>
          <w:tcPr>
            <w:tcW w:w="1493"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rPr>
              <w:t>建筑工程费</w:t>
            </w:r>
          </w:p>
        </w:tc>
        <w:tc>
          <w:tcPr>
            <w:tcW w:w="2747" w:type="dxa"/>
            <w:tcBorders>
              <w:tl2br w:val="nil"/>
              <w:tr2bl w:val="nil"/>
            </w:tcBorders>
            <w:shd w:val="clear" w:color="FFFFFF" w:fill="auto"/>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1,823,105.08 </w:t>
            </w:r>
          </w:p>
        </w:tc>
        <w:tc>
          <w:tcPr>
            <w:tcW w:w="2747" w:type="dxa"/>
            <w:tcBorders>
              <w:tl2br w:val="nil"/>
              <w:tr2bl w:val="nil"/>
            </w:tcBorders>
            <w:shd w:val="clear" w:color="FFFFFF" w:fill="auto"/>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1,672,573.47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340" w:hRule="exact"/>
          <w:jc w:val="center"/>
        </w:trPr>
        <w:tc>
          <w:tcPr>
            <w:tcW w:w="511"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rPr>
              <w:t>二</w:t>
            </w:r>
          </w:p>
        </w:tc>
        <w:tc>
          <w:tcPr>
            <w:tcW w:w="1493"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rPr>
              <w:t>装饰工程费</w:t>
            </w:r>
          </w:p>
        </w:tc>
        <w:tc>
          <w:tcPr>
            <w:tcW w:w="2747" w:type="dxa"/>
            <w:tcBorders>
              <w:tl2br w:val="nil"/>
              <w:tr2bl w:val="nil"/>
            </w:tcBorders>
            <w:shd w:val="clear" w:color="FFFFFF" w:fill="auto"/>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237,869.83 </w:t>
            </w:r>
          </w:p>
        </w:tc>
        <w:tc>
          <w:tcPr>
            <w:tcW w:w="2747" w:type="dxa"/>
            <w:tcBorders>
              <w:tl2br w:val="nil"/>
              <w:tr2bl w:val="nil"/>
            </w:tcBorders>
            <w:shd w:val="clear" w:color="FFFFFF" w:fill="auto"/>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218,229.20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340" w:hRule="exact"/>
          <w:jc w:val="center"/>
        </w:trPr>
        <w:tc>
          <w:tcPr>
            <w:tcW w:w="511"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rPr>
              <w:t>三</w:t>
            </w:r>
          </w:p>
        </w:tc>
        <w:tc>
          <w:tcPr>
            <w:tcW w:w="1493"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rPr>
              <w:t>安装工程费</w:t>
            </w:r>
          </w:p>
        </w:tc>
        <w:tc>
          <w:tcPr>
            <w:tcW w:w="2747" w:type="dxa"/>
            <w:tcBorders>
              <w:tl2br w:val="nil"/>
              <w:tr2bl w:val="nil"/>
            </w:tcBorders>
            <w:shd w:val="clear" w:color="FFFFFF" w:fill="auto"/>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409,006.41 </w:t>
            </w:r>
          </w:p>
        </w:tc>
        <w:tc>
          <w:tcPr>
            <w:tcW w:w="2747" w:type="dxa"/>
            <w:tcBorders>
              <w:tl2br w:val="nil"/>
              <w:tr2bl w:val="nil"/>
            </w:tcBorders>
            <w:shd w:val="clear" w:color="FFFFFF" w:fill="auto"/>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375,235.24 </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340" w:hRule="exact"/>
          <w:jc w:val="center"/>
        </w:trPr>
        <w:tc>
          <w:tcPr>
            <w:tcW w:w="511" w:type="pct"/>
            <w:tcBorders>
              <w:tl2br w:val="nil"/>
              <w:tr2bl w:val="nil"/>
            </w:tcBorders>
            <w:shd w:val="clear" w:color="FFFFFF" w:fill="auto"/>
            <w:vAlign w:val="center"/>
          </w:tcPr>
          <w:p>
            <w:pPr>
              <w:jc w:val="center"/>
              <w:rPr>
                <w:rFonts w:hint="default" w:ascii="Times New Roman" w:hAnsi="Times New Roman" w:eastAsia="宋体" w:cs="Times New Roman"/>
                <w:color w:val="000000"/>
                <w:sz w:val="18"/>
                <w:szCs w:val="18"/>
                <w:highlight w:val="none"/>
                <w:lang w:val="en-US" w:eastAsia="zh-CN"/>
              </w:rPr>
            </w:pPr>
          </w:p>
        </w:tc>
        <w:tc>
          <w:tcPr>
            <w:tcW w:w="1493" w:type="pct"/>
            <w:tcBorders>
              <w:tl2br w:val="nil"/>
              <w:tr2bl w:val="nil"/>
            </w:tcBorders>
            <w:shd w:val="clear" w:color="FFFFFF"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rPr>
              <w:t>建安综合造价</w:t>
            </w:r>
          </w:p>
        </w:tc>
        <w:tc>
          <w:tcPr>
            <w:tcW w:w="2747" w:type="dxa"/>
            <w:tcBorders>
              <w:tl2br w:val="nil"/>
              <w:tr2bl w:val="nil"/>
            </w:tcBorders>
            <w:shd w:val="clear" w:color="FFFFFF" w:fill="auto"/>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kern w:val="0"/>
                <w:sz w:val="18"/>
                <w:szCs w:val="18"/>
                <w:highlight w:val="none"/>
                <w:u w:val="none"/>
                <w:lang w:val="en-US" w:eastAsia="zh-CN"/>
              </w:rPr>
            </w:pPr>
            <w:r>
              <w:rPr>
                <w:rFonts w:hint="eastAsia" w:ascii="宋体" w:hAnsi="宋体" w:eastAsia="宋体" w:cs="宋体"/>
                <w:b/>
                <w:bCs/>
                <w:i w:val="0"/>
                <w:iCs w:val="0"/>
                <w:color w:val="000000"/>
                <w:kern w:val="0"/>
                <w:sz w:val="18"/>
                <w:szCs w:val="18"/>
                <w:u w:val="none"/>
                <w:lang w:val="en-US" w:eastAsia="zh-CN" w:bidi="ar"/>
              </w:rPr>
              <w:t xml:space="preserve">2,469,981.33 </w:t>
            </w:r>
          </w:p>
        </w:tc>
        <w:tc>
          <w:tcPr>
            <w:tcW w:w="2747" w:type="dxa"/>
            <w:tcBorders>
              <w:tl2br w:val="nil"/>
              <w:tr2bl w:val="nil"/>
            </w:tcBorders>
            <w:shd w:val="clear" w:color="FFFFFF" w:fill="auto"/>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kern w:val="0"/>
                <w:sz w:val="18"/>
                <w:szCs w:val="18"/>
                <w:highlight w:val="none"/>
                <w:u w:val="none"/>
                <w:lang w:val="en-US" w:eastAsia="zh-CN"/>
              </w:rPr>
            </w:pPr>
            <w:r>
              <w:rPr>
                <w:rFonts w:hint="eastAsia" w:ascii="宋体" w:hAnsi="宋体" w:eastAsia="宋体" w:cs="宋体"/>
                <w:b/>
                <w:bCs/>
                <w:i w:val="0"/>
                <w:iCs w:val="0"/>
                <w:color w:val="000000"/>
                <w:kern w:val="0"/>
                <w:sz w:val="18"/>
                <w:szCs w:val="18"/>
                <w:u w:val="none"/>
                <w:lang w:val="en-US" w:eastAsia="zh-CN" w:bidi="ar"/>
              </w:rPr>
              <w:t xml:space="preserve">2,266,037.92 </w:t>
            </w:r>
          </w:p>
        </w:tc>
      </w:tr>
    </w:tbl>
    <w:p>
      <w:pPr>
        <w:keepNext w:val="0"/>
        <w:keepLines w:val="0"/>
        <w:pageBreakBefore w:val="0"/>
        <w:widowControl w:val="0"/>
        <w:numPr>
          <w:ilvl w:val="0"/>
          <w:numId w:val="25"/>
        </w:numPr>
        <w:kinsoku/>
        <w:wordWrap/>
        <w:overflowPunct/>
        <w:topLinePunct w:val="0"/>
        <w:autoSpaceDE/>
        <w:autoSpaceDN/>
        <w:bidi w:val="0"/>
        <w:adjustRightInd w:val="0"/>
        <w:snapToGrid/>
        <w:spacing w:after="0" w:line="240" w:lineRule="auto"/>
        <w:ind w:left="0" w:leftChars="0" w:firstLine="480" w:firstLineChars="200"/>
        <w:jc w:val="both"/>
        <w:textAlignment w:val="baseline"/>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工程前期费用：主要包括配套费、工程监理费、开发期间税费等，根据国家物价局发布的现行建筑安装工程中涉及的收费标准，</w:t>
      </w:r>
      <w:r>
        <w:rPr>
          <w:rFonts w:hint="default" w:ascii="Times New Roman" w:hAnsi="Times New Roman" w:cs="Times New Roman"/>
          <w:sz w:val="24"/>
          <w:szCs w:val="24"/>
          <w:highlight w:val="none"/>
        </w:rPr>
        <w:t>则专业费用</w:t>
      </w:r>
      <w:r>
        <w:rPr>
          <w:rFonts w:hint="default" w:ascii="Times New Roman" w:hAnsi="Times New Roman" w:cs="Times New Roman"/>
          <w:sz w:val="24"/>
          <w:szCs w:val="24"/>
          <w:highlight w:val="none"/>
          <w:lang w:eastAsia="zh-CN"/>
        </w:rPr>
        <w:t>为</w:t>
      </w:r>
      <w:r>
        <w:rPr>
          <w:rFonts w:hint="eastAsia" w:ascii="Times New Roman" w:hAnsi="Times New Roman" w:cs="Times New Roman"/>
          <w:sz w:val="24"/>
          <w:szCs w:val="24"/>
          <w:highlight w:val="none"/>
          <w:lang w:eastAsia="zh-CN"/>
        </w:rPr>
        <w:t>481,328.49</w:t>
      </w:r>
      <w:r>
        <w:rPr>
          <w:rFonts w:hint="default" w:ascii="Times New Roman" w:hAnsi="Times New Roman" w:cs="Times New Roman"/>
          <w:sz w:val="24"/>
          <w:szCs w:val="24"/>
          <w:highlight w:val="none"/>
        </w:rPr>
        <w:t>（元）</w:t>
      </w:r>
    </w:p>
    <w:tbl>
      <w:tblPr>
        <w:tblStyle w:val="36"/>
        <w:tblW w:w="4997" w:type="pct"/>
        <w:jc w:val="center"/>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Layout w:type="autofit"/>
        <w:tblCellMar>
          <w:top w:w="0" w:type="dxa"/>
          <w:left w:w="0" w:type="dxa"/>
          <w:bottom w:w="0" w:type="dxa"/>
          <w:right w:w="0" w:type="dxa"/>
        </w:tblCellMar>
      </w:tblPr>
      <w:tblGrid>
        <w:gridCol w:w="569"/>
        <w:gridCol w:w="1332"/>
        <w:gridCol w:w="1138"/>
        <w:gridCol w:w="773"/>
        <w:gridCol w:w="1307"/>
        <w:gridCol w:w="1001"/>
        <w:gridCol w:w="2863"/>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jc w:val="center"/>
        </w:trPr>
        <w:tc>
          <w:tcPr>
            <w:tcW w:w="3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序号</w:t>
            </w:r>
          </w:p>
        </w:tc>
        <w:tc>
          <w:tcPr>
            <w:tcW w:w="7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费用名称</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计费基础</w:t>
            </w: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计费标准</w:t>
            </w:r>
          </w:p>
        </w:tc>
        <w:tc>
          <w:tcPr>
            <w:tcW w:w="72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含税金额（元）</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应抵扣费用</w:t>
            </w: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计费依据</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jc w:val="center"/>
        </w:trPr>
        <w:tc>
          <w:tcPr>
            <w:tcW w:w="3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7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项目建设管理费</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建安综合造价</w:t>
            </w: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2.00%</w:t>
            </w:r>
          </w:p>
        </w:tc>
        <w:tc>
          <w:tcPr>
            <w:tcW w:w="130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49,399.63 </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不可抵扣 </w:t>
            </w: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财建[2016]504号</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jc w:val="center"/>
        </w:trPr>
        <w:tc>
          <w:tcPr>
            <w:tcW w:w="3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7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勘察设计费</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建安综合造价</w:t>
            </w: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1.20%</w:t>
            </w:r>
          </w:p>
        </w:tc>
        <w:tc>
          <w:tcPr>
            <w:tcW w:w="130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29,639.78 </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可抵扣 </w:t>
            </w: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发改价格[2015]299号及市场调节价</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jc w:val="center"/>
        </w:trPr>
        <w:tc>
          <w:tcPr>
            <w:tcW w:w="3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w:t>
            </w:r>
          </w:p>
        </w:tc>
        <w:tc>
          <w:tcPr>
            <w:tcW w:w="7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工程监理费</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建安综合造价</w:t>
            </w: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1.00%</w:t>
            </w:r>
          </w:p>
        </w:tc>
        <w:tc>
          <w:tcPr>
            <w:tcW w:w="130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24,699.81 </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可抵扣 </w:t>
            </w: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发改价格[2015]299号及市场调节价</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jc w:val="center"/>
        </w:trPr>
        <w:tc>
          <w:tcPr>
            <w:tcW w:w="3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p>
        </w:tc>
        <w:tc>
          <w:tcPr>
            <w:tcW w:w="7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环境影响评价费</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建安综合造价</w:t>
            </w: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0.20%</w:t>
            </w:r>
          </w:p>
        </w:tc>
        <w:tc>
          <w:tcPr>
            <w:tcW w:w="130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4,939.96 </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可抵扣 </w:t>
            </w: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发改价格[2015]299号及市场调节价</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jc w:val="center"/>
        </w:trPr>
        <w:tc>
          <w:tcPr>
            <w:tcW w:w="3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5</w:t>
            </w:r>
          </w:p>
        </w:tc>
        <w:tc>
          <w:tcPr>
            <w:tcW w:w="7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可行性研究费</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建安综合造价</w:t>
            </w: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0.20%</w:t>
            </w:r>
          </w:p>
        </w:tc>
        <w:tc>
          <w:tcPr>
            <w:tcW w:w="130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4,939.96 </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可抵扣 </w:t>
            </w: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发改价格[2015]299号及市场调节价</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jc w:val="center"/>
        </w:trPr>
        <w:tc>
          <w:tcPr>
            <w:tcW w:w="3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6</w:t>
            </w:r>
          </w:p>
        </w:tc>
        <w:tc>
          <w:tcPr>
            <w:tcW w:w="7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招标代理费</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建安综合造价</w:t>
            </w: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0.50%</w:t>
            </w:r>
          </w:p>
        </w:tc>
        <w:tc>
          <w:tcPr>
            <w:tcW w:w="130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12,349.91 </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可抵扣 </w:t>
            </w: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发改价格[2015]299号及市场调节价</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23" w:hRule="atLeast"/>
          <w:jc w:val="center"/>
        </w:trPr>
        <w:tc>
          <w:tcPr>
            <w:tcW w:w="3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7</w:t>
            </w:r>
          </w:p>
        </w:tc>
        <w:tc>
          <w:tcPr>
            <w:tcW w:w="7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安全评价费</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建安综合造价</w:t>
            </w: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0.05%</w:t>
            </w:r>
          </w:p>
        </w:tc>
        <w:tc>
          <w:tcPr>
            <w:tcW w:w="130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1,234.99 </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可抵扣 </w:t>
            </w: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发改价格[2015]299号及市场调节价</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563" w:hRule="atLeast"/>
          <w:jc w:val="center"/>
        </w:trPr>
        <w:tc>
          <w:tcPr>
            <w:tcW w:w="3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8</w:t>
            </w:r>
          </w:p>
        </w:tc>
        <w:tc>
          <w:tcPr>
            <w:tcW w:w="7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基础设施配套费</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建筑面积</w:t>
            </w: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137.00</w:t>
            </w:r>
          </w:p>
        </w:tc>
        <w:tc>
          <w:tcPr>
            <w:tcW w:w="130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354,124.45 </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不可抵扣 </w:t>
            </w: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烟台市人民政府关于收取城市基础设施配套费有关问题的意见</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jc w:val="center"/>
        </w:trPr>
        <w:tc>
          <w:tcPr>
            <w:tcW w:w="105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合计</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72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481,328.49</w:t>
            </w: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59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23" w:hRule="atLeast"/>
          <w:jc w:val="center"/>
        </w:trPr>
        <w:tc>
          <w:tcPr>
            <w:tcW w:w="105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可抵扣税费合计</w:t>
            </w:r>
          </w:p>
        </w:tc>
        <w:tc>
          <w:tcPr>
            <w:tcW w:w="63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43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72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18"/>
                <w:szCs w:val="18"/>
                <w:lang w:val="en-US" w:eastAsia="zh-CN"/>
                <w14:textFill>
                  <w14:solidFill>
                    <w14:schemeClr w14:val="tx1"/>
                  </w14:solidFill>
                </w14:textFill>
              </w:rPr>
              <w:t>4,404.02</w:t>
            </w:r>
          </w:p>
        </w:tc>
        <w:tc>
          <w:tcPr>
            <w:tcW w:w="5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p>
        </w:tc>
        <w:tc>
          <w:tcPr>
            <w:tcW w:w="1593" w:type="pct"/>
            <w:tcBorders>
              <w:tl2br w:val="nil"/>
              <w:tr2bl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r>
    </w:tbl>
    <w:p>
      <w:pPr>
        <w:keepNext w:val="0"/>
        <w:keepLines w:val="0"/>
        <w:pageBreakBefore w:val="0"/>
        <w:widowControl w:val="0"/>
        <w:numPr>
          <w:ilvl w:val="0"/>
          <w:numId w:val="25"/>
        </w:numPr>
        <w:kinsoku/>
        <w:wordWrap/>
        <w:overflowPunct/>
        <w:topLinePunct w:val="0"/>
        <w:autoSpaceDE/>
        <w:autoSpaceDN/>
        <w:bidi w:val="0"/>
        <w:adjustRightInd w:val="0"/>
        <w:snapToGrid/>
        <w:spacing w:after="0" w:line="520" w:lineRule="exact"/>
        <w:ind w:left="0" w:leftChars="0" w:firstLine="480" w:firstLineChars="200"/>
        <w:jc w:val="both"/>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投资利息：投资利息是指从建筑期始到建筑期末投资利息，依据该建筑物建设情况，确定建筑期为</w:t>
      </w:r>
      <w:r>
        <w:rPr>
          <w:rFonts w:hint="default" w:ascii="Times New Roman" w:hAnsi="Times New Roman" w:eastAsia="宋体" w:cs="Times New Roman"/>
          <w:sz w:val="24"/>
          <w:szCs w:val="24"/>
          <w:highlight w:val="none"/>
          <w:lang w:eastAsia="zh-CN"/>
        </w:rPr>
        <w:t>一</w:t>
      </w:r>
      <w:r>
        <w:rPr>
          <w:rFonts w:hint="default" w:ascii="Times New Roman" w:hAnsi="Times New Roman" w:eastAsia="宋体" w:cs="Times New Roman"/>
          <w:sz w:val="24"/>
          <w:szCs w:val="24"/>
          <w:highlight w:val="none"/>
        </w:rPr>
        <w:t>年，建筑费用及其他费用计息按建筑工期的一半计算，利率按估价时点适用的贷款市场报价利率（LPR</w:t>
      </w:r>
      <w:r>
        <w:rPr>
          <w:rFonts w:hint="default" w:ascii="Times New Roman" w:hAnsi="Times New Roman" w:cs="Times New Roman"/>
          <w:sz w:val="24"/>
          <w:szCs w:val="24"/>
          <w:highlight w:val="none"/>
          <w:lang w:val="en-US" w:eastAsia="zh-CN"/>
        </w:rPr>
        <w:t>3.70</w:t>
      </w:r>
      <w:r>
        <w:rPr>
          <w:rFonts w:hint="default" w:ascii="Times New Roman" w:hAnsi="Times New Roman" w:eastAsia="宋体" w:cs="Times New Roman"/>
          <w:sz w:val="24"/>
          <w:szCs w:val="24"/>
          <w:highlight w:val="none"/>
        </w:rPr>
        <w:t>%</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，则：（2,469,981.33 +</w:t>
      </w:r>
      <w:r>
        <w:rPr>
          <w:rFonts w:hint="eastAsia" w:ascii="Times New Roman" w:hAnsi="Times New Roman" w:cs="Times New Roman"/>
          <w:sz w:val="24"/>
          <w:szCs w:val="24"/>
          <w:highlight w:val="none"/>
          <w:lang w:eastAsia="zh-CN"/>
        </w:rPr>
        <w:t>481,328.49</w:t>
      </w:r>
      <w:r>
        <w:rPr>
          <w:rFonts w:hint="default" w:ascii="Times New Roman" w:hAnsi="Times New Roman" w:eastAsia="宋体" w:cs="Times New Roman"/>
          <w:sz w:val="24"/>
          <w:szCs w:val="24"/>
          <w:highlight w:val="none"/>
        </w:rPr>
        <w:t>）×[（1+</w:t>
      </w:r>
      <w:r>
        <w:rPr>
          <w:rFonts w:hint="default" w:ascii="Times New Roman" w:hAnsi="Times New Roman" w:cs="Times New Roman"/>
          <w:sz w:val="24"/>
          <w:szCs w:val="24"/>
          <w:highlight w:val="none"/>
          <w:lang w:val="en-US" w:eastAsia="zh-CN"/>
        </w:rPr>
        <w:t>3.70</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vertAlign w:val="superscript"/>
        </w:rPr>
        <w:t>0.</w:t>
      </w:r>
      <w:r>
        <w:rPr>
          <w:rFonts w:hint="default" w:ascii="Times New Roman" w:hAnsi="Times New Roman" w:eastAsia="宋体" w:cs="Times New Roman"/>
          <w:sz w:val="24"/>
          <w:szCs w:val="24"/>
          <w:highlight w:val="none"/>
          <w:vertAlign w:val="superscript"/>
          <w:lang w:val="en-US" w:eastAsia="zh-CN"/>
        </w:rPr>
        <w:t>5</w:t>
      </w:r>
      <w:r>
        <w:rPr>
          <w:rFonts w:hint="default" w:ascii="Times New Roman" w:hAnsi="Times New Roman" w:eastAsia="宋体" w:cs="Times New Roman"/>
          <w:sz w:val="24"/>
          <w:szCs w:val="24"/>
          <w:highlight w:val="none"/>
        </w:rPr>
        <w:t>-1]=</w:t>
      </w:r>
      <w:r>
        <w:rPr>
          <w:rFonts w:hint="eastAsia" w:ascii="Times New Roman" w:hAnsi="Times New Roman" w:cs="Times New Roman"/>
          <w:sz w:val="24"/>
          <w:szCs w:val="24"/>
          <w:highlight w:val="none"/>
          <w:lang w:val="en-US" w:eastAsia="zh-CN"/>
        </w:rPr>
        <w:t>53,861.40</w:t>
      </w:r>
      <w:r>
        <w:rPr>
          <w:rFonts w:hint="default" w:ascii="Times New Roman" w:hAnsi="Times New Roman" w:eastAsia="宋体" w:cs="Times New Roman"/>
          <w:sz w:val="24"/>
          <w:szCs w:val="24"/>
          <w:highlight w:val="none"/>
        </w:rPr>
        <w:t xml:space="preserve">(元) </w:t>
      </w:r>
    </w:p>
    <w:tbl>
      <w:tblPr>
        <w:tblStyle w:val="36"/>
        <w:tblW w:w="4998" w:type="pct"/>
        <w:tblInd w:w="0" w:type="dxa"/>
        <w:tblBorders>
          <w:top w:val="double" w:color="auto" w:sz="2" w:space="0"/>
          <w:left w:val="double" w:color="auto" w:sz="2" w:space="0"/>
          <w:bottom w:val="double" w:color="auto" w:sz="2" w:space="0"/>
          <w:right w:val="double" w:color="auto" w:sz="2" w:space="0"/>
          <w:insideH w:val="dotted" w:color="auto" w:sz="4" w:space="0"/>
          <w:insideV w:val="dotted" w:color="auto" w:sz="4" w:space="0"/>
        </w:tblBorders>
        <w:tblLayout w:type="autofit"/>
        <w:tblCellMar>
          <w:top w:w="0" w:type="dxa"/>
          <w:left w:w="108" w:type="dxa"/>
          <w:bottom w:w="0" w:type="dxa"/>
          <w:right w:w="108" w:type="dxa"/>
        </w:tblCellMar>
      </w:tblPr>
      <w:tblGrid>
        <w:gridCol w:w="1524"/>
        <w:gridCol w:w="1527"/>
        <w:gridCol w:w="1531"/>
        <w:gridCol w:w="1531"/>
        <w:gridCol w:w="1268"/>
        <w:gridCol w:w="1789"/>
      </w:tblGrid>
      <w:tr>
        <w:tblPrEx>
          <w:tblBorders>
            <w:top w:val="double" w:color="auto" w:sz="2" w:space="0"/>
            <w:left w:val="double" w:color="auto" w:sz="2" w:space="0"/>
            <w:bottom w:val="double" w:color="auto" w:sz="2" w:space="0"/>
            <w:right w:val="double" w:color="auto" w:sz="2" w:space="0"/>
            <w:insideH w:val="dotted" w:color="auto" w:sz="4" w:space="0"/>
            <w:insideV w:val="dotted" w:color="auto" w:sz="4" w:space="0"/>
          </w:tblBorders>
          <w:tblCellMar>
            <w:top w:w="0" w:type="dxa"/>
            <w:left w:w="108" w:type="dxa"/>
            <w:bottom w:w="0" w:type="dxa"/>
            <w:right w:w="108" w:type="dxa"/>
          </w:tblCellMar>
        </w:tblPrEx>
        <w:trPr>
          <w:trHeight w:val="790" w:hRule="exact"/>
        </w:trPr>
        <w:tc>
          <w:tcPr>
            <w:tcW w:w="831" w:type="pct"/>
            <w:tcBorders>
              <w:tl2br w:val="nil"/>
              <w:tr2bl w:val="nil"/>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一年期贷款：LPR=r</w:t>
            </w:r>
          </w:p>
        </w:tc>
        <w:tc>
          <w:tcPr>
            <w:tcW w:w="832" w:type="pct"/>
            <w:tcBorders>
              <w:tl2br w:val="nil"/>
              <w:tr2bl w:val="nil"/>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估算的二年期贷款：LPR</w:t>
            </w:r>
          </w:p>
        </w:tc>
        <w:tc>
          <w:tcPr>
            <w:tcW w:w="834" w:type="pct"/>
            <w:tcBorders>
              <w:tl2br w:val="nil"/>
              <w:tr2bl w:val="nil"/>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估算的三年期贷款：LPR</w:t>
            </w:r>
          </w:p>
        </w:tc>
        <w:tc>
          <w:tcPr>
            <w:tcW w:w="834" w:type="pct"/>
            <w:tcBorders>
              <w:tl2br w:val="nil"/>
              <w:tr2bl w:val="nil"/>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估算的四年期贷款：LPR</w:t>
            </w:r>
          </w:p>
        </w:tc>
        <w:tc>
          <w:tcPr>
            <w:tcW w:w="691" w:type="pct"/>
            <w:tcBorders>
              <w:tl2br w:val="nil"/>
              <w:tr2bl w:val="nil"/>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五年期贷款：LPR=R</w:t>
            </w:r>
          </w:p>
        </w:tc>
        <w:tc>
          <w:tcPr>
            <w:tcW w:w="975" w:type="pct"/>
            <w:tcBorders>
              <w:tl2br w:val="nil"/>
              <w:tr2bl w:val="nil"/>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五年期LPR与一年期LPR的差额/4 (Δr)</w:t>
            </w:r>
          </w:p>
        </w:tc>
      </w:tr>
      <w:tr>
        <w:tblPrEx>
          <w:tblBorders>
            <w:top w:val="double" w:color="auto" w:sz="2" w:space="0"/>
            <w:left w:val="double" w:color="auto" w:sz="2" w:space="0"/>
            <w:bottom w:val="double" w:color="auto" w:sz="2" w:space="0"/>
            <w:right w:val="double" w:color="auto" w:sz="2" w:space="0"/>
            <w:insideH w:val="dotted" w:color="auto" w:sz="4" w:space="0"/>
            <w:insideV w:val="dotted" w:color="auto" w:sz="4" w:space="0"/>
          </w:tblBorders>
          <w:tblCellMar>
            <w:top w:w="0" w:type="dxa"/>
            <w:left w:w="108" w:type="dxa"/>
            <w:bottom w:w="0" w:type="dxa"/>
            <w:right w:w="108" w:type="dxa"/>
          </w:tblCellMar>
        </w:tblPrEx>
        <w:trPr>
          <w:trHeight w:val="435" w:hRule="exact"/>
        </w:trPr>
        <w:tc>
          <w:tcPr>
            <w:tcW w:w="831"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r</w:t>
            </w:r>
          </w:p>
        </w:tc>
        <w:tc>
          <w:tcPr>
            <w:tcW w:w="832"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r+Δr</w:t>
            </w:r>
          </w:p>
        </w:tc>
        <w:tc>
          <w:tcPr>
            <w:tcW w:w="834"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r+Δr×2</w:t>
            </w:r>
          </w:p>
        </w:tc>
        <w:tc>
          <w:tcPr>
            <w:tcW w:w="834"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r+Δr×3</w:t>
            </w:r>
          </w:p>
        </w:tc>
        <w:tc>
          <w:tcPr>
            <w:tcW w:w="691"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R=r+Δr×4</w:t>
            </w:r>
          </w:p>
        </w:tc>
        <w:tc>
          <w:tcPr>
            <w:tcW w:w="975"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Δr=(R-r)/4</w:t>
            </w:r>
          </w:p>
        </w:tc>
      </w:tr>
      <w:tr>
        <w:tblPrEx>
          <w:tblBorders>
            <w:top w:val="double" w:color="auto" w:sz="2" w:space="0"/>
            <w:left w:val="double" w:color="auto" w:sz="2" w:space="0"/>
            <w:bottom w:val="double" w:color="auto" w:sz="2" w:space="0"/>
            <w:right w:val="double" w:color="auto" w:sz="2" w:space="0"/>
            <w:insideH w:val="dotted" w:color="auto" w:sz="4" w:space="0"/>
            <w:insideV w:val="dotted" w:color="auto" w:sz="4" w:space="0"/>
          </w:tblBorders>
          <w:tblCellMar>
            <w:top w:w="0" w:type="dxa"/>
            <w:left w:w="108" w:type="dxa"/>
            <w:bottom w:w="0" w:type="dxa"/>
            <w:right w:w="108" w:type="dxa"/>
          </w:tblCellMar>
        </w:tblPrEx>
        <w:trPr>
          <w:trHeight w:val="710" w:hRule="exact"/>
        </w:trPr>
        <w:tc>
          <w:tcPr>
            <w:tcW w:w="831"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65</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832"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3.8125</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834"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3.975</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834"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4.1375</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691"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c>
          <w:tcPr>
            <w:tcW w:w="975" w:type="pct"/>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1625</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w:t>
            </w:r>
          </w:p>
        </w:tc>
      </w:tr>
    </w:tbl>
    <w:p>
      <w:pPr>
        <w:keepNext w:val="0"/>
        <w:keepLines w:val="0"/>
        <w:pageBreakBefore w:val="0"/>
        <w:widowControl w:val="0"/>
        <w:numPr>
          <w:ilvl w:val="0"/>
          <w:numId w:val="25"/>
        </w:numPr>
        <w:kinsoku/>
        <w:wordWrap/>
        <w:overflowPunct/>
        <w:topLinePunct w:val="0"/>
        <w:autoSpaceDE/>
        <w:autoSpaceDN/>
        <w:bidi w:val="0"/>
        <w:adjustRightInd w:val="0"/>
        <w:snapToGrid/>
        <w:spacing w:after="0" w:line="520" w:lineRule="exact"/>
        <w:ind w:left="0" w:leftChars="0" w:firstLine="480" w:firstLineChars="200"/>
        <w:jc w:val="both"/>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建筑物重置价值：</w:t>
      </w:r>
    </w:p>
    <w:p>
      <w:pPr>
        <w:keepNext w:val="0"/>
        <w:keepLines w:val="0"/>
        <w:pageBreakBefore w:val="0"/>
        <w:shd w:val="clear"/>
        <w:kinsoku/>
        <w:wordWrap/>
        <w:overflowPunct/>
        <w:topLinePunct w:val="0"/>
        <w:autoSpaceDE/>
        <w:autoSpaceDN/>
        <w:bidi w:val="0"/>
        <w:snapToGrid/>
        <w:spacing w:after="0" w:line="520" w:lineRule="exact"/>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重置全价=建筑安装工程总造价（不含税）+前期及其他费用（含税）</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资金成本-前期及其他费用(可抵扣)/ (1+6%)×6%</w:t>
      </w:r>
    </w:p>
    <w:p>
      <w:pPr>
        <w:keepNext w:val="0"/>
        <w:keepLines w:val="0"/>
        <w:pageBreakBefore w:val="0"/>
        <w:kinsoku/>
        <w:wordWrap/>
        <w:overflowPunct/>
        <w:topLinePunct w:val="0"/>
        <w:autoSpaceDE/>
        <w:autoSpaceDN/>
        <w:bidi w:val="0"/>
        <w:snapToGrid/>
        <w:spacing w:after="0" w:line="520" w:lineRule="exact"/>
        <w:ind w:firstLine="960" w:firstLineChars="400"/>
        <w:jc w:val="both"/>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V=2,266,037.92+</w:t>
      </w:r>
      <w:r>
        <w:rPr>
          <w:rFonts w:hint="eastAsia" w:ascii="Times New Roman" w:hAnsi="Times New Roman" w:cs="Times New Roman"/>
          <w:sz w:val="24"/>
          <w:szCs w:val="24"/>
          <w:highlight w:val="none"/>
          <w:lang w:eastAsia="zh-CN"/>
        </w:rPr>
        <w:t>481,328.49</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53,861.40</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4,404.02</w:t>
      </w:r>
    </w:p>
    <w:p>
      <w:pPr>
        <w:keepNext w:val="0"/>
        <w:keepLines w:val="0"/>
        <w:pageBreakBefore w:val="0"/>
        <w:kinsoku/>
        <w:wordWrap/>
        <w:overflowPunct/>
        <w:topLinePunct w:val="0"/>
        <w:autoSpaceDE/>
        <w:autoSpaceDN/>
        <w:bidi w:val="0"/>
        <w:snapToGrid/>
        <w:spacing w:after="0" w:line="520" w:lineRule="exact"/>
        <w:ind w:firstLine="480" w:firstLineChars="200"/>
        <w:jc w:val="left"/>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eastAsia="zh-CN"/>
        </w:rPr>
        <w:t>2,796,824.00</w:t>
      </w:r>
      <w:r>
        <w:rPr>
          <w:rFonts w:hint="default" w:ascii="Times New Roman" w:hAnsi="Times New Roman" w:cs="Times New Roman"/>
          <w:sz w:val="24"/>
          <w:szCs w:val="24"/>
          <w:highlight w:val="none"/>
        </w:rPr>
        <w:t>（元）</w:t>
      </w:r>
      <w:r>
        <w:rPr>
          <w:rFonts w:hint="default" w:ascii="Times New Roman" w:hAnsi="Times New Roman" w:cs="Times New Roman"/>
          <w:sz w:val="24"/>
          <w:szCs w:val="24"/>
          <w:highlight w:val="none"/>
          <w:lang w:val="en-US" w:eastAsia="zh-CN"/>
        </w:rPr>
        <w:t>(取整)</w:t>
      </w:r>
    </w:p>
    <w:p>
      <w:pPr>
        <w:keepNext w:val="0"/>
        <w:keepLines w:val="0"/>
        <w:pageBreakBefore w:val="0"/>
        <w:kinsoku/>
        <w:wordWrap/>
        <w:overflowPunct/>
        <w:topLinePunct w:val="0"/>
        <w:autoSpaceDE/>
        <w:autoSpaceDN/>
        <w:bidi w:val="0"/>
        <w:snapToGrid/>
        <w:spacing w:after="0" w:line="52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2.计算成新率</w:t>
      </w:r>
    </w:p>
    <w:p>
      <w:pPr>
        <w:keepNext w:val="0"/>
        <w:keepLines w:val="0"/>
        <w:pageBreakBefore w:val="0"/>
        <w:kinsoku/>
        <w:wordWrap/>
        <w:overflowPunct/>
        <w:topLinePunct w:val="0"/>
        <w:autoSpaceDE/>
        <w:autoSpaceDN/>
        <w:bidi w:val="0"/>
        <w:snapToGrid/>
        <w:spacing w:after="0" w:line="52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（1）现场成新率：</w:t>
      </w:r>
    </w:p>
    <w:p>
      <w:pPr>
        <w:keepNext w:val="0"/>
        <w:keepLines w:val="0"/>
        <w:pageBreakBefore w:val="0"/>
        <w:kinsoku/>
        <w:wordWrap/>
        <w:overflowPunct/>
        <w:topLinePunct w:val="0"/>
        <w:autoSpaceDE/>
        <w:autoSpaceDN/>
        <w:bidi w:val="0"/>
        <w:snapToGrid/>
        <w:spacing w:after="0" w:line="520" w:lineRule="exact"/>
        <w:ind w:firstLine="480" w:firstLineChars="2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由评估人员、工程技术人员对建筑物打分进行技术鉴定，确定该建筑物现场成新率为</w:t>
      </w:r>
      <w:r>
        <w:rPr>
          <w:rFonts w:hint="eastAsia" w:ascii="Times New Roman" w:hAnsi="Times New Roman" w:cs="Times New Roman"/>
          <w:sz w:val="24"/>
          <w:szCs w:val="24"/>
          <w:highlight w:val="none"/>
          <w:lang w:val="en-US" w:eastAsia="zh-CN"/>
        </w:rPr>
        <w:t>70.50</w:t>
      </w:r>
      <w:r>
        <w:rPr>
          <w:rFonts w:hint="default"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w:t>
      </w:r>
    </w:p>
    <w:tbl>
      <w:tblPr>
        <w:tblStyle w:val="36"/>
        <w:tblW w:w="4998"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autofit"/>
        <w:tblCellMar>
          <w:top w:w="0" w:type="dxa"/>
          <w:left w:w="0" w:type="dxa"/>
          <w:bottom w:w="0" w:type="dxa"/>
          <w:right w:w="0" w:type="dxa"/>
        </w:tblCellMar>
      </w:tblPr>
      <w:tblGrid>
        <w:gridCol w:w="2099"/>
        <w:gridCol w:w="3144"/>
        <w:gridCol w:w="1826"/>
        <w:gridCol w:w="1915"/>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2918" w:type="pct"/>
            <w:gridSpan w:val="2"/>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项目</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标准分数</w:t>
            </w:r>
          </w:p>
        </w:tc>
        <w:tc>
          <w:tcPr>
            <w:tcW w:w="1064"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评定分数</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结</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构</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G</w:t>
            </w: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1基础</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25</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25</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2承重结构</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25</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3非承重结构</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15</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15</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4屋面</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15</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5地面</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15</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小计</w:t>
            </w:r>
          </w:p>
        </w:tc>
        <w:tc>
          <w:tcPr>
            <w:tcW w:w="3831" w:type="pct"/>
            <w:gridSpan w:val="3"/>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小计 :G= （1+2+3+4+5）×权重（0.</w:t>
            </w:r>
            <w:r>
              <w:rPr>
                <w:rFonts w:hint="default" w:ascii="Times New Roman" w:hAnsi="Times New Roman" w:cs="Times New Roman"/>
                <w:color w:val="000000" w:themeColor="text1"/>
                <w:kern w:val="0"/>
                <w:sz w:val="18"/>
                <w:szCs w:val="18"/>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cs="Times New Roman"/>
                <w:color w:val="000000" w:themeColor="text1"/>
                <w:kern w:val="0"/>
                <w:sz w:val="18"/>
                <w:szCs w:val="18"/>
                <w:lang w:val="en-US" w:eastAsia="zh-CN"/>
                <w14:textFill>
                  <w14:solidFill>
                    <w14:schemeClr w14:val="tx1"/>
                  </w14:solidFill>
                </w14:textFill>
              </w:rPr>
              <w:t>59.50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装</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饰</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S</w:t>
            </w: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6门窗</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25</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7内粉饰</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30</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8外粉饰</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30</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9其它</w:t>
            </w:r>
          </w:p>
        </w:tc>
        <w:tc>
          <w:tcPr>
            <w:tcW w:w="1016"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15</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小计</w:t>
            </w:r>
          </w:p>
        </w:tc>
        <w:tc>
          <w:tcPr>
            <w:tcW w:w="3831" w:type="pct"/>
            <w:gridSpan w:val="3"/>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小计:S=（ 6+7+8+9）×权重(0.1)</w:t>
            </w:r>
            <w:r>
              <w:rPr>
                <w:rFonts w:hint="default" w:ascii="Times New Roman" w:hAnsi="Times New Roman" w:cs="Times New Roman"/>
                <w:color w:val="000000" w:themeColor="text1"/>
                <w:kern w:val="0"/>
                <w:sz w:val="18"/>
                <w:szCs w:val="18"/>
                <w:lang w:val="en-US" w:eastAsia="zh-CN"/>
                <w14:textFill>
                  <w14:solidFill>
                    <w14:schemeClr w14:val="tx1"/>
                  </w14:solidFill>
                </w14:textFill>
              </w:rPr>
              <w:t>=</w:t>
            </w:r>
            <w:r>
              <w:rPr>
                <w:rFonts w:hint="eastAsia" w:ascii="Times New Roman" w:hAnsi="Times New Roman" w:cs="Times New Roman"/>
                <w:color w:val="000000" w:themeColor="text1"/>
                <w:kern w:val="0"/>
                <w:sz w:val="18"/>
                <w:szCs w:val="18"/>
                <w:lang w:val="en-US" w:eastAsia="zh-CN"/>
                <w14:textFill>
                  <w14:solidFill>
                    <w14:schemeClr w14:val="tx1"/>
                  </w14:solidFill>
                </w14:textFill>
              </w:rPr>
              <w:t>5</w:t>
            </w:r>
            <w:r>
              <w:rPr>
                <w:rFonts w:hint="default" w:ascii="Times New Roman" w:hAnsi="Times New Roman" w:cs="Times New Roman"/>
                <w:color w:val="000000" w:themeColor="text1"/>
                <w:kern w:val="0"/>
                <w:sz w:val="18"/>
                <w:szCs w:val="18"/>
                <w:lang w:val="en-US" w:eastAsia="zh-CN"/>
                <w14:textFill>
                  <w14:solidFill>
                    <w14:schemeClr w14:val="tx1"/>
                  </w14:solidFill>
                </w14:textFill>
              </w:rPr>
              <w:t>.0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设</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备</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B</w:t>
            </w: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10水卫</w:t>
            </w:r>
          </w:p>
        </w:tc>
        <w:tc>
          <w:tcPr>
            <w:tcW w:w="1826"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r>
              <w:rPr>
                <w:rFonts w:hint="eastAsia" w:ascii="Times New Roman" w:hAnsi="Times New Roman" w:cs="Times New Roman"/>
                <w:color w:val="000000" w:themeColor="text1"/>
                <w:kern w:val="0"/>
                <w:sz w:val="18"/>
                <w:szCs w:val="18"/>
                <w:lang w:val="en-US" w:eastAsia="zh-CN"/>
                <w14:textFill>
                  <w14:solidFill>
                    <w14:schemeClr w14:val="tx1"/>
                  </w14:solidFill>
                </w14:textFill>
              </w:rPr>
              <w:t>5</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11照明</w:t>
            </w:r>
          </w:p>
        </w:tc>
        <w:tc>
          <w:tcPr>
            <w:tcW w:w="1826"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r>
              <w:rPr>
                <w:rFonts w:hint="eastAsia" w:ascii="Times New Roman" w:hAnsi="Times New Roman" w:cs="Times New Roman"/>
                <w:color w:val="000000" w:themeColor="text1"/>
                <w:kern w:val="0"/>
                <w:sz w:val="18"/>
                <w:szCs w:val="18"/>
                <w:lang w:val="en-US" w:eastAsia="zh-CN"/>
                <w14:textFill>
                  <w14:solidFill>
                    <w14:schemeClr w14:val="tx1"/>
                  </w14:solidFill>
                </w14:textFill>
              </w:rPr>
              <w:t>5</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749"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12采暖</w:t>
            </w:r>
          </w:p>
        </w:tc>
        <w:tc>
          <w:tcPr>
            <w:tcW w:w="1826"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60</w:t>
            </w:r>
          </w:p>
        </w:tc>
        <w:tc>
          <w:tcPr>
            <w:tcW w:w="191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1168" w:type="pc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小计</w:t>
            </w:r>
          </w:p>
        </w:tc>
        <w:tc>
          <w:tcPr>
            <w:tcW w:w="3831" w:type="pct"/>
            <w:gridSpan w:val="3"/>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小计:B=（10+11+12）×权重(0.</w:t>
            </w:r>
            <w:r>
              <w:rPr>
                <w:rFonts w:hint="default" w:ascii="Times New Roman" w:hAnsi="Times New Roman" w:cs="Times New Roman"/>
                <w:color w:val="000000" w:themeColor="text1"/>
                <w:kern w:val="0"/>
                <w:sz w:val="18"/>
                <w:szCs w:val="18"/>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eastAsia" w:ascii="Times New Roman" w:hAnsi="Times New Roman" w:cs="Times New Roman"/>
                <w:color w:val="000000" w:themeColor="text1"/>
                <w:kern w:val="0"/>
                <w:sz w:val="18"/>
                <w:szCs w:val="18"/>
                <w:lang w:val="en-US" w:eastAsia="zh-CN"/>
                <w14:textFill>
                  <w14:solidFill>
                    <w14:schemeClr w14:val="tx1"/>
                  </w14:solidFill>
                </w14:textFill>
              </w:rPr>
              <w:t>6.0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40" w:hRule="exact"/>
        </w:trPr>
        <w:tc>
          <w:tcPr>
            <w:tcW w:w="5000" w:type="pct"/>
            <w:gridSpan w:val="4"/>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70.50</w:t>
            </w:r>
          </w:p>
        </w:tc>
      </w:tr>
    </w:tbl>
    <w:p>
      <w:pPr>
        <w:keepNext w:val="0"/>
        <w:keepLines w:val="0"/>
        <w:pageBreakBefore w:val="0"/>
        <w:widowControl w:val="0"/>
        <w:kinsoku/>
        <w:wordWrap/>
        <w:overflowPunct/>
        <w:topLinePunct w:val="0"/>
        <w:autoSpaceDE/>
        <w:autoSpaceDN/>
        <w:bidi w:val="0"/>
        <w:adjustRightInd w:val="0"/>
        <w:snapToGrid/>
        <w:spacing w:after="0" w:line="480" w:lineRule="exact"/>
        <w:ind w:left="0" w:firstLine="480" w:firstLineChars="200"/>
        <w:jc w:val="both"/>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（2）理论成新率：</w:t>
      </w:r>
    </w:p>
    <w:p>
      <w:pPr>
        <w:keepNext w:val="0"/>
        <w:keepLines w:val="0"/>
        <w:pageBreakBefore w:val="0"/>
        <w:kinsoku/>
        <w:wordWrap/>
        <w:overflowPunct/>
        <w:topLinePunct w:val="0"/>
        <w:autoSpaceDE/>
        <w:autoSpaceDN/>
        <w:bidi w:val="0"/>
        <w:spacing w:after="0" w:line="480" w:lineRule="exact"/>
        <w:ind w:left="0" w:firstLine="480" w:firstLineChars="2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该建筑物建成于</w:t>
      </w:r>
      <w:r>
        <w:rPr>
          <w:rFonts w:hint="default" w:ascii="Times New Roman" w:hAnsi="Times New Roman" w:cs="Times New Roman"/>
          <w:sz w:val="24"/>
          <w:szCs w:val="24"/>
          <w:highlight w:val="none"/>
          <w:lang w:val="en-US" w:eastAsia="zh-CN"/>
        </w:rPr>
        <w:t>20</w:t>
      </w:r>
      <w:r>
        <w:rPr>
          <w:rFonts w:hint="eastAsia" w:ascii="Times New Roman" w:hAnsi="Times New Roman" w:cs="Times New Roman"/>
          <w:sz w:val="24"/>
          <w:szCs w:val="24"/>
          <w:highlight w:val="none"/>
          <w:lang w:val="en-US" w:eastAsia="zh-CN"/>
        </w:rPr>
        <w:t>05</w:t>
      </w:r>
      <w:r>
        <w:rPr>
          <w:rFonts w:hint="default" w:ascii="Times New Roman" w:hAnsi="Times New Roman" w:eastAsia="宋体" w:cs="Times New Roman"/>
          <w:sz w:val="24"/>
          <w:szCs w:val="24"/>
          <w:highlight w:val="none"/>
        </w:rPr>
        <w:t>年</w:t>
      </w:r>
      <w:r>
        <w:rPr>
          <w:rFonts w:hint="eastAsia" w:ascii="Times New Roman" w:hAnsi="Times New Roman" w:cs="Times New Roman"/>
          <w:sz w:val="24"/>
          <w:szCs w:val="24"/>
          <w:highlight w:val="none"/>
          <w:lang w:val="en-US" w:eastAsia="zh-CN"/>
        </w:rPr>
        <w:t>1月1日</w:t>
      </w:r>
      <w:r>
        <w:rPr>
          <w:rFonts w:hint="default" w:ascii="Times New Roman" w:hAnsi="Times New Roman" w:eastAsia="宋体" w:cs="Times New Roman"/>
          <w:sz w:val="24"/>
          <w:szCs w:val="24"/>
          <w:highlight w:val="none"/>
        </w:rPr>
        <w:t>并投入使用，该建筑物为</w:t>
      </w:r>
      <w:r>
        <w:rPr>
          <w:rFonts w:hint="default" w:ascii="Times New Roman" w:hAnsi="Times New Roman" w:cs="Times New Roman"/>
          <w:sz w:val="24"/>
          <w:szCs w:val="24"/>
          <w:highlight w:val="none"/>
          <w:lang w:eastAsia="zh-CN"/>
        </w:rPr>
        <w:t>钢</w:t>
      </w:r>
      <w:r>
        <w:rPr>
          <w:rFonts w:hint="default" w:ascii="Times New Roman" w:hAnsi="Times New Roman" w:eastAsia="宋体" w:cs="Times New Roman"/>
          <w:sz w:val="24"/>
          <w:szCs w:val="24"/>
          <w:highlight w:val="none"/>
        </w:rPr>
        <w:t>结构</w:t>
      </w:r>
      <w:r>
        <w:rPr>
          <w:rFonts w:hint="default" w:ascii="Times New Roman" w:hAnsi="Times New Roman" w:eastAsia="宋体" w:cs="Times New Roman"/>
          <w:sz w:val="24"/>
          <w:szCs w:val="24"/>
          <w:highlight w:val="none"/>
          <w:lang w:val="en-US" w:eastAsia="zh-CN"/>
        </w:rPr>
        <w:t>生产厂房</w:t>
      </w:r>
      <w:r>
        <w:rPr>
          <w:rFonts w:hint="default" w:ascii="Times New Roman" w:hAnsi="Times New Roman" w:eastAsia="宋体" w:cs="Times New Roman"/>
          <w:sz w:val="24"/>
          <w:szCs w:val="24"/>
          <w:highlight w:val="none"/>
        </w:rPr>
        <w:t>，其理论耐用年限为</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0年，至评估基准日该建筑物已使用17.76年，剩余年限为</w:t>
      </w:r>
      <w:r>
        <w:rPr>
          <w:rFonts w:hint="eastAsia" w:ascii="Times New Roman" w:hAnsi="Times New Roman" w:cs="Times New Roman"/>
          <w:sz w:val="24"/>
          <w:szCs w:val="24"/>
          <w:highlight w:val="none"/>
          <w:lang w:val="en-US" w:eastAsia="zh-CN"/>
        </w:rPr>
        <w:t>32.24</w:t>
      </w:r>
      <w:r>
        <w:rPr>
          <w:rFonts w:hint="default" w:ascii="Times New Roman" w:hAnsi="Times New Roman" w:eastAsia="宋体" w:cs="Times New Roman"/>
          <w:sz w:val="24"/>
          <w:szCs w:val="24"/>
          <w:highlight w:val="none"/>
        </w:rPr>
        <w:t>年；</w:t>
      </w:r>
      <w:r>
        <w:rPr>
          <w:rFonts w:hint="default" w:ascii="Times New Roman" w:hAnsi="Times New Roman" w:cs="Times New Roman"/>
          <w:sz w:val="24"/>
          <w:szCs w:val="24"/>
          <w:highlight w:val="none"/>
          <w:lang w:eastAsia="zh-CN"/>
        </w:rPr>
        <w:t>土地终止日期2056</w:t>
      </w:r>
      <w:r>
        <w:rPr>
          <w:rFonts w:hint="eastAsia" w:ascii="Times New Roman" w:hAnsi="Times New Roman" w:cs="Times New Roman"/>
          <w:sz w:val="24"/>
          <w:szCs w:val="24"/>
          <w:highlight w:val="none"/>
          <w:lang w:eastAsia="zh-CN"/>
        </w:rPr>
        <w:t>年</w:t>
      </w:r>
      <w:r>
        <w:rPr>
          <w:rFonts w:hint="default" w:ascii="Times New Roman" w:hAnsi="Times New Roman" w:cs="Times New Roman"/>
          <w:sz w:val="24"/>
          <w:szCs w:val="24"/>
          <w:highlight w:val="none"/>
          <w:lang w:eastAsia="zh-CN"/>
        </w:rPr>
        <w:t>12</w:t>
      </w:r>
      <w:r>
        <w:rPr>
          <w:rFonts w:hint="eastAsia" w:ascii="Times New Roman" w:hAnsi="Times New Roman" w:cs="Times New Roman"/>
          <w:sz w:val="24"/>
          <w:szCs w:val="24"/>
          <w:highlight w:val="none"/>
          <w:lang w:eastAsia="zh-CN"/>
        </w:rPr>
        <w:t>月</w:t>
      </w:r>
      <w:r>
        <w:rPr>
          <w:rFonts w:hint="default" w:ascii="Times New Roman" w:hAnsi="Times New Roman" w:cs="Times New Roman"/>
          <w:sz w:val="24"/>
          <w:szCs w:val="24"/>
          <w:highlight w:val="none"/>
          <w:lang w:eastAsia="zh-CN"/>
        </w:rPr>
        <w:t>27</w:t>
      </w:r>
      <w:r>
        <w:rPr>
          <w:rFonts w:hint="eastAsia" w:ascii="Times New Roman" w:hAnsi="Times New Roman" w:cs="Times New Roman"/>
          <w:sz w:val="24"/>
          <w:szCs w:val="24"/>
          <w:highlight w:val="none"/>
          <w:lang w:eastAsia="zh-CN"/>
        </w:rPr>
        <w:t>日</w:t>
      </w:r>
      <w:r>
        <w:rPr>
          <w:rFonts w:hint="default" w:ascii="Times New Roman" w:hAnsi="Times New Roman" w:cs="Times New Roman"/>
          <w:sz w:val="24"/>
          <w:szCs w:val="24"/>
          <w:highlight w:val="none"/>
          <w:lang w:val="en-US" w:eastAsia="zh-CN"/>
        </w:rPr>
        <w:t>，剩余使用年限</w:t>
      </w:r>
      <w:r>
        <w:rPr>
          <w:rFonts w:hint="eastAsia" w:ascii="Times New Roman" w:hAnsi="Times New Roman" w:cs="Times New Roman"/>
          <w:sz w:val="24"/>
          <w:szCs w:val="24"/>
          <w:highlight w:val="none"/>
          <w:lang w:val="en-US" w:eastAsia="zh-CN"/>
        </w:rPr>
        <w:t>34.24</w:t>
      </w:r>
      <w:r>
        <w:rPr>
          <w:rFonts w:hint="default" w:ascii="Times New Roman" w:hAnsi="Times New Roman" w:cs="Times New Roman"/>
          <w:sz w:val="24"/>
          <w:szCs w:val="24"/>
          <w:highlight w:val="none"/>
          <w:lang w:val="en-US" w:eastAsia="zh-CN"/>
        </w:rPr>
        <w:t>年，依据孰短原则，</w:t>
      </w:r>
      <w:r>
        <w:rPr>
          <w:rFonts w:hint="default" w:ascii="Times New Roman" w:hAnsi="Times New Roman" w:eastAsia="宋体" w:cs="Times New Roman"/>
          <w:sz w:val="24"/>
          <w:szCs w:val="24"/>
          <w:highlight w:val="none"/>
        </w:rPr>
        <w:t>则该房屋建筑物理论成新率为：</w:t>
      </w:r>
    </w:p>
    <w:p>
      <w:pPr>
        <w:keepNext w:val="0"/>
        <w:keepLines w:val="0"/>
        <w:pageBreakBefore w:val="0"/>
        <w:kinsoku/>
        <w:wordWrap/>
        <w:overflowPunct/>
        <w:topLinePunct w:val="0"/>
        <w:autoSpaceDE/>
        <w:autoSpaceDN/>
        <w:bidi w:val="0"/>
        <w:spacing w:after="0" w:line="480" w:lineRule="exact"/>
        <w:ind w:left="0" w:firstLine="480" w:firstLineChars="2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理论成新率＝1－（1－残值率）×已经使用年限/建筑物经济耐用年限</w:t>
      </w:r>
    </w:p>
    <w:p>
      <w:pPr>
        <w:keepNext w:val="0"/>
        <w:keepLines w:val="0"/>
        <w:pageBreakBefore w:val="0"/>
        <w:kinsoku/>
        <w:wordWrap/>
        <w:overflowPunct/>
        <w:topLinePunct w:val="0"/>
        <w:autoSpaceDE/>
        <w:autoSpaceDN/>
        <w:bidi w:val="0"/>
        <w:spacing w:after="0" w:line="480" w:lineRule="exact"/>
        <w:ind w:left="0" w:firstLine="1680" w:firstLineChars="7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w:t>
      </w:r>
      <w:r>
        <w:rPr>
          <w:rFonts w:hint="eastAsia" w:ascii="Times New Roman" w:hAnsi="Times New Roman" w:cs="Times New Roman"/>
          <w:sz w:val="24"/>
          <w:szCs w:val="24"/>
          <w:highlight w:val="none"/>
          <w:lang w:val="en-US" w:eastAsia="zh-CN"/>
        </w:rPr>
        <w:t>8</w:t>
      </w:r>
      <w:r>
        <w:rPr>
          <w:rFonts w:hint="default" w:ascii="Times New Roman" w:hAnsi="Times New Roman" w:eastAsia="宋体" w:cs="Times New Roman"/>
          <w:sz w:val="24"/>
          <w:szCs w:val="24"/>
          <w:highlight w:val="none"/>
        </w:rPr>
        <w:t xml:space="preserve">%）×17.76 /（17.76 </w:t>
      </w:r>
      <w:r>
        <w:rPr>
          <w:rFonts w:hint="default" w:ascii="Times New Roman" w:hAnsi="Times New Roman" w:eastAsia="宋体" w:cs="Times New Roman"/>
          <w:sz w:val="24"/>
          <w:szCs w:val="24"/>
          <w:highlight w:val="none"/>
          <w:lang w:val="en-US" w:eastAsia="zh-CN"/>
        </w:rPr>
        <w:t>+</w:t>
      </w:r>
      <w:r>
        <w:rPr>
          <w:rFonts w:hint="eastAsia" w:ascii="Times New Roman" w:hAnsi="Times New Roman" w:cs="Times New Roman"/>
          <w:sz w:val="24"/>
          <w:szCs w:val="24"/>
          <w:highlight w:val="none"/>
          <w:lang w:val="en-US" w:eastAsia="zh-CN"/>
        </w:rPr>
        <w:t>32.24</w:t>
      </w:r>
      <w:r>
        <w:rPr>
          <w:rFonts w:hint="default" w:ascii="Times New Roman" w:hAnsi="Times New Roman" w:eastAsia="宋体" w:cs="Times New Roman"/>
          <w:sz w:val="24"/>
          <w:szCs w:val="24"/>
          <w:highlight w:val="none"/>
        </w:rPr>
        <w:t>）×100%</w:t>
      </w:r>
    </w:p>
    <w:p>
      <w:pPr>
        <w:keepNext w:val="0"/>
        <w:keepLines w:val="0"/>
        <w:pageBreakBefore w:val="0"/>
        <w:kinsoku/>
        <w:wordWrap/>
        <w:overflowPunct/>
        <w:topLinePunct w:val="0"/>
        <w:autoSpaceDE/>
        <w:autoSpaceDN/>
        <w:bidi w:val="0"/>
        <w:spacing w:after="0" w:line="480" w:lineRule="exact"/>
        <w:ind w:left="0" w:firstLine="1680" w:firstLineChars="7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67.32</w:t>
      </w:r>
      <w:r>
        <w:rPr>
          <w:rFonts w:hint="default" w:ascii="Times New Roman" w:hAnsi="Times New Roman" w:eastAsia="宋体" w:cs="Times New Roman"/>
          <w:sz w:val="24"/>
          <w:szCs w:val="24"/>
          <w:highlight w:val="none"/>
        </w:rPr>
        <w:t>%</w:t>
      </w:r>
    </w:p>
    <w:p>
      <w:pPr>
        <w:keepNext w:val="0"/>
        <w:keepLines w:val="0"/>
        <w:pageBreakBefore w:val="0"/>
        <w:kinsoku/>
        <w:wordWrap/>
        <w:overflowPunct/>
        <w:topLinePunct w:val="0"/>
        <w:autoSpaceDE/>
        <w:autoSpaceDN/>
        <w:bidi w:val="0"/>
        <w:spacing w:after="0" w:line="480" w:lineRule="exact"/>
        <w:ind w:left="0" w:firstLine="480" w:firstLineChars="2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综合确定成新率＝</w:t>
      </w:r>
      <w:r>
        <w:rPr>
          <w:rFonts w:hint="eastAsia" w:ascii="Times New Roman" w:hAnsi="Times New Roman" w:cs="Times New Roman"/>
          <w:sz w:val="24"/>
          <w:szCs w:val="24"/>
          <w:highlight w:val="none"/>
          <w:lang w:val="en-US" w:eastAsia="zh-CN"/>
        </w:rPr>
        <w:t>67.32</w:t>
      </w:r>
      <w:r>
        <w:rPr>
          <w:rFonts w:hint="default" w:ascii="Times New Roman" w:hAnsi="Times New Roman" w:eastAsia="宋体" w:cs="Times New Roman"/>
          <w:sz w:val="24"/>
          <w:szCs w:val="24"/>
          <w:highlight w:val="none"/>
        </w:rPr>
        <w:t>%×40%＋</w:t>
      </w:r>
      <w:r>
        <w:rPr>
          <w:rFonts w:hint="eastAsia" w:ascii="Times New Roman" w:hAnsi="Times New Roman" w:cs="Times New Roman"/>
          <w:sz w:val="24"/>
          <w:szCs w:val="24"/>
          <w:highlight w:val="none"/>
          <w:lang w:val="en-US" w:eastAsia="zh-CN"/>
        </w:rPr>
        <w:t>70.50</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×60%＝</w:t>
      </w:r>
      <w:r>
        <w:rPr>
          <w:rFonts w:hint="eastAsia" w:ascii="Times New Roman" w:hAnsi="Times New Roman" w:cs="Times New Roman"/>
          <w:sz w:val="24"/>
          <w:szCs w:val="24"/>
          <w:highlight w:val="none"/>
          <w:lang w:val="en-US" w:eastAsia="zh-CN"/>
        </w:rPr>
        <w:t>69</w:t>
      </w:r>
      <w:r>
        <w:rPr>
          <w:rFonts w:hint="default" w:ascii="Times New Roman" w:hAnsi="Times New Roman" w:eastAsia="宋体" w:cs="Times New Roman"/>
          <w:sz w:val="24"/>
          <w:szCs w:val="24"/>
          <w:highlight w:val="none"/>
        </w:rPr>
        <w:t>%（取整）</w:t>
      </w:r>
    </w:p>
    <w:p>
      <w:pPr>
        <w:keepNext w:val="0"/>
        <w:keepLines w:val="0"/>
        <w:pageBreakBefore w:val="0"/>
        <w:numPr>
          <w:ilvl w:val="0"/>
          <w:numId w:val="26"/>
        </w:numPr>
        <w:kinsoku/>
        <w:wordWrap/>
        <w:overflowPunct/>
        <w:topLinePunct w:val="0"/>
        <w:autoSpaceDE/>
        <w:autoSpaceDN/>
        <w:bidi w:val="0"/>
        <w:spacing w:after="0" w:line="480" w:lineRule="exact"/>
        <w:ind w:left="0" w:firstLine="480" w:firstLineChars="200"/>
        <w:jc w:val="both"/>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确定建筑物的评估</w:t>
      </w:r>
      <w:r>
        <w:rPr>
          <w:rFonts w:hint="default" w:ascii="Times New Roman" w:hAnsi="Times New Roman" w:cs="Times New Roman"/>
          <w:color w:val="auto"/>
          <w:sz w:val="24"/>
          <w:highlight w:val="none"/>
          <w:lang w:eastAsia="zh-CN"/>
        </w:rPr>
        <w:t>价值</w:t>
      </w:r>
    </w:p>
    <w:p>
      <w:pPr>
        <w:keepNext w:val="0"/>
        <w:keepLines w:val="0"/>
        <w:pageBreakBefore w:val="0"/>
        <w:numPr>
          <w:ilvl w:val="0"/>
          <w:numId w:val="0"/>
        </w:numPr>
        <w:kinsoku/>
        <w:wordWrap/>
        <w:overflowPunct/>
        <w:topLinePunct w:val="0"/>
        <w:autoSpaceDE/>
        <w:autoSpaceDN/>
        <w:bidi w:val="0"/>
        <w:spacing w:after="0" w:line="480" w:lineRule="exact"/>
        <w:ind w:leftChars="200"/>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评估单价</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rPr>
        <w:t>重置价值×成新率</w:t>
      </w:r>
    </w:p>
    <w:p>
      <w:pPr>
        <w:keepNext w:val="0"/>
        <w:keepLines w:val="0"/>
        <w:pageBreakBefore w:val="0"/>
        <w:numPr>
          <w:ilvl w:val="0"/>
          <w:numId w:val="0"/>
        </w:numPr>
        <w:kinsoku/>
        <w:wordWrap/>
        <w:overflowPunct/>
        <w:topLinePunct w:val="0"/>
        <w:autoSpaceDE/>
        <w:autoSpaceDN/>
        <w:bidi w:val="0"/>
        <w:spacing w:after="0" w:line="480" w:lineRule="exact"/>
        <w:ind w:leftChars="200"/>
        <w:jc w:val="both"/>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val="en-US" w:eastAsia="zh-CN"/>
        </w:rPr>
        <w:t>2,796,824.00</w:t>
      </w:r>
      <w:r>
        <w:rPr>
          <w:rFonts w:hint="default" w:ascii="Times New Roman" w:hAnsi="Times New Roman" w:cs="Times New Roman"/>
          <w:color w:val="auto"/>
          <w:sz w:val="24"/>
          <w:highlight w:val="none"/>
          <w:lang w:val="en-US" w:eastAsia="zh-CN"/>
        </w:rPr>
        <w:t xml:space="preserve"> </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69</w:t>
      </w:r>
      <w:r>
        <w:rPr>
          <w:rFonts w:hint="default" w:ascii="Times New Roman" w:hAnsi="Times New Roman" w:eastAsia="宋体" w:cs="Times New Roman"/>
          <w:color w:val="auto"/>
          <w:sz w:val="24"/>
          <w:szCs w:val="24"/>
          <w:highlight w:val="none"/>
        </w:rPr>
        <w:t>%</w:t>
      </w:r>
    </w:p>
    <w:p>
      <w:pPr>
        <w:keepNext w:val="0"/>
        <w:keepLines w:val="0"/>
        <w:pageBreakBefore w:val="0"/>
        <w:numPr>
          <w:ilvl w:val="0"/>
          <w:numId w:val="0"/>
        </w:numPr>
        <w:kinsoku/>
        <w:wordWrap/>
        <w:overflowPunct/>
        <w:topLinePunct w:val="0"/>
        <w:autoSpaceDE/>
        <w:autoSpaceDN/>
        <w:bidi w:val="0"/>
        <w:spacing w:after="0" w:line="480" w:lineRule="exact"/>
        <w:ind w:left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1,929,809.00</w:t>
      </w:r>
      <w:r>
        <w:rPr>
          <w:rFonts w:hint="default" w:ascii="Times New Roman" w:hAnsi="Times New Roman" w:cs="Times New Roman"/>
          <w:color w:val="auto"/>
          <w:sz w:val="24"/>
          <w:szCs w:val="24"/>
          <w:highlight w:val="none"/>
          <w:lang w:val="en-US" w:eastAsia="zh-CN"/>
        </w:rPr>
        <w:t>元（取整）</w:t>
      </w:r>
    </w:p>
    <w:p>
      <w:pPr>
        <w:keepNext w:val="0"/>
        <w:keepLines w:val="0"/>
        <w:pageBreakBefore w:val="0"/>
        <w:numPr>
          <w:ilvl w:val="0"/>
          <w:numId w:val="26"/>
        </w:numPr>
        <w:kinsoku/>
        <w:wordWrap/>
        <w:overflowPunct/>
        <w:topLinePunct w:val="0"/>
        <w:autoSpaceDE/>
        <w:autoSpaceDN/>
        <w:bidi w:val="0"/>
        <w:spacing w:after="0" w:line="480" w:lineRule="exact"/>
        <w:ind w:left="0"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抵押房地产综合变现折扣率</w:t>
      </w:r>
    </w:p>
    <w:tbl>
      <w:tblPr>
        <w:tblStyle w:val="36"/>
        <w:tblW w:w="4997" w:type="pct"/>
        <w:jc w:val="center"/>
        <w:shd w:val="clear" w:color="auto" w:fill="auto"/>
        <w:tblLayout w:type="autofit"/>
        <w:tblCellMar>
          <w:top w:w="0" w:type="dxa"/>
          <w:left w:w="0" w:type="dxa"/>
          <w:bottom w:w="0" w:type="dxa"/>
          <w:right w:w="0" w:type="dxa"/>
        </w:tblCellMar>
      </w:tblPr>
      <w:tblGrid>
        <w:gridCol w:w="1085"/>
        <w:gridCol w:w="2483"/>
        <w:gridCol w:w="3339"/>
        <w:gridCol w:w="949"/>
        <w:gridCol w:w="1127"/>
      </w:tblGrid>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uble"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序号</w:t>
            </w:r>
          </w:p>
        </w:tc>
        <w:tc>
          <w:tcPr>
            <w:tcW w:w="1381" w:type="pct"/>
            <w:tcBorders>
              <w:top w:val="double"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影响抵债物变现因素名称</w:t>
            </w:r>
          </w:p>
        </w:tc>
        <w:tc>
          <w:tcPr>
            <w:tcW w:w="1858" w:type="pct"/>
            <w:tcBorders>
              <w:top w:val="double"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现状条件</w:t>
            </w:r>
          </w:p>
        </w:tc>
        <w:tc>
          <w:tcPr>
            <w:tcW w:w="528" w:type="pct"/>
            <w:tcBorders>
              <w:top w:val="double"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影响程度</w:t>
            </w:r>
          </w:p>
        </w:tc>
        <w:tc>
          <w:tcPr>
            <w:tcW w:w="627" w:type="pct"/>
            <w:tcBorders>
              <w:top w:val="double"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分值(%)</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一</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法律限制因素</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权利状况对过户的影响</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抵押</w:t>
            </w: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较小</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租约限制及地役权等</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房地分别抵押</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抵押物涉及刑事查封</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5</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违章搭建或改造</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6</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抵押物分割状态不明</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二</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市场因素</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2</w:t>
            </w: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市场活跃程度</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市场活跃程度低</w:t>
            </w: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较小</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市场公开程度</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市场公开程</w:t>
            </w:r>
            <w:r>
              <w:rPr>
                <w:rFonts w:hint="default" w:ascii="Times New Roman" w:hAnsi="Times New Roman" w:cs="Times New Roman"/>
                <w:color w:val="000000" w:themeColor="text1"/>
                <w:kern w:val="0"/>
                <w:sz w:val="18"/>
                <w:szCs w:val="18"/>
                <w:lang w:val="en-US" w:eastAsia="zh-CN"/>
                <w14:textFill>
                  <w14:solidFill>
                    <w14:schemeClr w14:val="tx1"/>
                  </w14:solidFill>
                </w14:textFill>
              </w:rPr>
              <w:t>差</w:t>
            </w: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较小</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trHeight w:val="332"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三</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物业个性对变现的影响</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eastAsia" w:ascii="Times New Roman" w:hAnsi="Times New Roman" w:cs="Times New Roman"/>
                <w:b/>
                <w:bCs/>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物业类型</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物业大小</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邻里权属关系、通道条件</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房屋用途的变通性改造潜力</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四</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其他不确定因素的影响</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异地他案首轮查封</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本地他案首轮查封</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第三方占用</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exact"/>
          <w:tblHeader/>
          <w:jc w:val="center"/>
        </w:trPr>
        <w:tc>
          <w:tcPr>
            <w:tcW w:w="604" w:type="pct"/>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p>
        </w:tc>
        <w:tc>
          <w:tcPr>
            <w:tcW w:w="1381"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其他不确定因素</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exact"/>
          <w:tblHeader/>
          <w:jc w:val="center"/>
        </w:trPr>
        <w:tc>
          <w:tcPr>
            <w:tcW w:w="1986" w:type="pct"/>
            <w:gridSpan w:val="2"/>
            <w:tcBorders>
              <w:top w:val="dotted" w:color="000000" w:sz="4" w:space="0"/>
              <w:left w:val="double"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合计</w:t>
            </w:r>
          </w:p>
        </w:tc>
        <w:tc>
          <w:tcPr>
            <w:tcW w:w="185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tted"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627" w:type="pct"/>
            <w:tcBorders>
              <w:top w:val="dotted" w:color="000000" w:sz="4" w:space="0"/>
              <w:left w:val="dotted" w:color="000000" w:sz="4" w:space="0"/>
              <w:bottom w:val="dotted"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w:t>
            </w:r>
            <w:r>
              <w:rPr>
                <w:rFonts w:hint="eastAsia" w:ascii="Times New Roman" w:hAnsi="Times New Roman" w:cs="Times New Roman"/>
                <w:color w:val="000000" w:themeColor="text1"/>
                <w:kern w:val="0"/>
                <w:sz w:val="18"/>
                <w:szCs w:val="18"/>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exact"/>
          <w:tblHeader/>
          <w:jc w:val="center"/>
        </w:trPr>
        <w:tc>
          <w:tcPr>
            <w:tcW w:w="1986" w:type="pct"/>
            <w:gridSpan w:val="2"/>
            <w:tcBorders>
              <w:top w:val="dotted" w:color="000000" w:sz="4" w:space="0"/>
              <w:left w:val="double" w:color="000000" w:sz="4" w:space="0"/>
              <w:bottom w:val="double"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综合变现折扣率</w:t>
            </w:r>
          </w:p>
        </w:tc>
        <w:tc>
          <w:tcPr>
            <w:tcW w:w="1858" w:type="pct"/>
            <w:tcBorders>
              <w:top w:val="dotted" w:color="000000" w:sz="4" w:space="0"/>
              <w:left w:val="dotted" w:color="000000" w:sz="4" w:space="0"/>
              <w:bottom w:val="double"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28" w:type="pct"/>
            <w:tcBorders>
              <w:top w:val="dotted" w:color="000000" w:sz="4" w:space="0"/>
              <w:left w:val="dotted" w:color="000000" w:sz="4" w:space="0"/>
              <w:bottom w:val="double" w:color="000000" w:sz="4" w:space="0"/>
              <w:right w:val="dotted"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627" w:type="pct"/>
            <w:tcBorders>
              <w:top w:val="dotted" w:color="000000" w:sz="4" w:space="0"/>
              <w:left w:val="dotted" w:color="000000" w:sz="4" w:space="0"/>
              <w:bottom w:val="double" w:color="000000" w:sz="4" w:space="0"/>
              <w:right w:val="doub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3</w:t>
            </w:r>
            <w:r>
              <w:rPr>
                <w:rFonts w:hint="eastAsia" w:ascii="Times New Roman" w:hAnsi="Times New Roman" w:cs="Times New Roman"/>
                <w:b/>
                <w:bCs/>
                <w:color w:val="000000" w:themeColor="text1"/>
                <w:kern w:val="0"/>
                <w:sz w:val="18"/>
                <w:szCs w:val="18"/>
                <w:lang w:val="en-US" w:eastAsia="zh-CN"/>
                <w14:textFill>
                  <w14:solidFill>
                    <w14:schemeClr w14:val="tx1"/>
                  </w14:solidFill>
                </w14:textFill>
              </w:rPr>
              <w:t>0</w:t>
            </w:r>
          </w:p>
        </w:tc>
      </w:tr>
    </w:tbl>
    <w:p>
      <w:pPr>
        <w:keepNext w:val="0"/>
        <w:keepLines w:val="0"/>
        <w:pageBreakBefore w:val="0"/>
        <w:numPr>
          <w:ilvl w:val="0"/>
          <w:numId w:val="26"/>
        </w:numPr>
        <w:kinsoku/>
        <w:wordWrap/>
        <w:overflowPunct/>
        <w:topLinePunct w:val="0"/>
        <w:autoSpaceDE/>
        <w:autoSpaceDN/>
        <w:bidi w:val="0"/>
        <w:spacing w:after="0" w:line="480" w:lineRule="exact"/>
        <w:ind w:left="0" w:firstLine="480" w:firstLineChars="200"/>
        <w:jc w:val="both"/>
        <w:rPr>
          <w:rFonts w:hint="default" w:ascii="Times New Roman" w:hAnsi="Times New Roman" w:eastAsia="宋体" w:cs="Times New Roman"/>
          <w:color w:val="auto"/>
          <w:sz w:val="24"/>
          <w:highlight w:val="none"/>
          <w:lang w:eastAsia="zh-CN"/>
        </w:rPr>
      </w:pPr>
      <w:bookmarkStart w:id="37" w:name="_Toc456596927"/>
      <w:bookmarkStart w:id="38" w:name="_Toc487474485"/>
      <w:r>
        <w:rPr>
          <w:rFonts w:hint="default" w:ascii="Times New Roman" w:hAnsi="Times New Roman" w:eastAsia="宋体" w:cs="Times New Roman"/>
          <w:color w:val="auto"/>
          <w:sz w:val="24"/>
          <w:highlight w:val="none"/>
          <w:lang w:val="en-US" w:eastAsia="zh-CN"/>
        </w:rPr>
        <w:t>变现价值</w:t>
      </w:r>
    </w:p>
    <w:p>
      <w:pPr>
        <w:keepNext w:val="0"/>
        <w:keepLines w:val="0"/>
        <w:pageBreakBefore w:val="0"/>
        <w:widowControl/>
        <w:kinsoku/>
        <w:wordWrap/>
        <w:overflowPunct/>
        <w:topLinePunct w:val="0"/>
        <w:autoSpaceDE/>
        <w:autoSpaceDN/>
        <w:bidi w:val="0"/>
        <w:adjustRightInd/>
        <w:spacing w:after="0" w:line="480" w:lineRule="exact"/>
        <w:ind w:left="0" w:lef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变现价值=</w:t>
      </w:r>
      <w:r>
        <w:rPr>
          <w:rFonts w:hint="default" w:ascii="Times New Roman" w:hAnsi="Times New Roman" w:eastAsia="宋体" w:cs="Times New Roman"/>
          <w:color w:val="auto"/>
          <w:sz w:val="24"/>
          <w:highlight w:val="none"/>
          <w:lang w:eastAsia="zh-CN"/>
        </w:rPr>
        <w:t>市场价值</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1-综合变现折扣率</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pacing w:after="0" w:line="480" w:lineRule="exact"/>
        <w:ind w:left="0" w:leftChars="0"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 xml:space="preserve">        = </w:t>
      </w:r>
      <w:r>
        <w:rPr>
          <w:rFonts w:hint="eastAsia" w:ascii="Times New Roman" w:hAnsi="Times New Roman" w:cs="Times New Roman"/>
          <w:color w:val="auto"/>
          <w:sz w:val="24"/>
          <w:highlight w:val="none"/>
          <w:lang w:eastAsia="zh-CN"/>
        </w:rPr>
        <w:t>1,929,809.00</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1-30%</w:t>
      </w:r>
      <w:r>
        <w:rPr>
          <w:rFonts w:hint="eastAsia" w:ascii="Times New Roman" w:hAnsi="Times New Roman" w:cs="Times New Roman"/>
          <w:color w:val="auto"/>
          <w:sz w:val="24"/>
          <w:szCs w:val="24"/>
          <w:highlight w:val="none"/>
          <w:lang w:eastAsia="zh-CN"/>
        </w:rPr>
        <w:t>）</w:t>
      </w:r>
    </w:p>
    <w:p>
      <w:pPr>
        <w:pStyle w:val="16"/>
        <w:keepNext w:val="0"/>
        <w:keepLines w:val="0"/>
        <w:pageBreakBefore w:val="0"/>
        <w:widowControl/>
        <w:kinsoku/>
        <w:wordWrap/>
        <w:overflowPunct/>
        <w:topLinePunct w:val="0"/>
        <w:autoSpaceDE/>
        <w:autoSpaceDN/>
        <w:bidi w:val="0"/>
        <w:adjustRightInd/>
        <w:snapToGrid w:val="0"/>
        <w:spacing w:after="0" w:line="480" w:lineRule="exact"/>
        <w:ind w:leftChars="0" w:firstLine="1440" w:firstLineChars="6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=1,350,866.00</w:t>
      </w:r>
      <w:r>
        <w:rPr>
          <w:rFonts w:hint="default" w:ascii="Times New Roman" w:hAnsi="Times New Roman" w:eastAsia="宋体" w:cs="Times New Roman"/>
          <w:color w:val="auto"/>
          <w:sz w:val="24"/>
          <w:highlight w:val="none"/>
          <w:lang w:eastAsia="zh-CN"/>
        </w:rPr>
        <w:t>（元）</w:t>
      </w:r>
    </w:p>
    <w:p>
      <w:pPr>
        <w:keepNext/>
        <w:keepLines/>
        <w:pageBreakBefore w:val="0"/>
        <w:widowControl/>
        <w:numPr>
          <w:ilvl w:val="0"/>
          <w:numId w:val="23"/>
        </w:numPr>
        <w:kinsoku/>
        <w:wordWrap/>
        <w:overflowPunct/>
        <w:topLinePunct w:val="0"/>
        <w:bidi w:val="0"/>
        <w:adjustRightInd/>
        <w:spacing w:after="0" w:line="520" w:lineRule="exact"/>
        <w:ind w:left="0" w:leftChars="0" w:firstLine="482" w:firstLineChars="200"/>
        <w:jc w:val="both"/>
        <w:outlineLvl w:val="1"/>
        <w:rPr>
          <w:rFonts w:hint="default" w:ascii="Times New Roman" w:hAnsi="Times New Roman" w:eastAsia="宋体" w:cs="Times New Roman"/>
          <w:b/>
          <w:color w:val="auto"/>
          <w:sz w:val="24"/>
          <w:szCs w:val="24"/>
          <w:highlight w:val="none"/>
          <w:lang w:eastAsia="zh-CN"/>
        </w:rPr>
      </w:pPr>
      <w:bookmarkStart w:id="39" w:name="_Toc15531"/>
      <w:bookmarkStart w:id="40" w:name="_Toc23581"/>
      <w:r>
        <w:rPr>
          <w:rFonts w:hint="default" w:ascii="Times New Roman" w:hAnsi="Times New Roman" w:eastAsia="宋体" w:cs="Times New Roman"/>
          <w:b/>
          <w:color w:val="auto"/>
          <w:sz w:val="24"/>
          <w:szCs w:val="24"/>
          <w:highlight w:val="none"/>
          <w:lang w:eastAsia="zh-CN"/>
        </w:rPr>
        <w:t>土地使用权</w:t>
      </w:r>
      <w:bookmarkEnd w:id="39"/>
      <w:bookmarkEnd w:id="40"/>
    </w:p>
    <w:p>
      <w:pPr>
        <w:keepNext/>
        <w:keepLines/>
        <w:pageBreakBefore w:val="0"/>
        <w:widowControl w:val="0"/>
        <w:shd w:val="clear" w:color="auto" w:fill="auto"/>
        <w:kinsoku/>
        <w:wordWrap/>
        <w:overflowPunct/>
        <w:topLinePunct w:val="0"/>
        <w:autoSpaceDE w:val="0"/>
        <w:autoSpaceDN w:val="0"/>
        <w:bidi w:val="0"/>
        <w:adjustRightInd w:val="0"/>
        <w:snapToGrid w:val="0"/>
        <w:spacing w:after="0" w:line="520" w:lineRule="exact"/>
        <w:ind w:firstLine="482" w:firstLineChars="200"/>
        <w:jc w:val="both"/>
        <w:textAlignment w:val="bottom"/>
        <w:outlineLvl w:val="2"/>
        <w:rPr>
          <w:rFonts w:hint="default" w:ascii="Times New Roman" w:hAnsi="Times New Roman" w:cs="Times New Roman"/>
          <w:b/>
          <w:color w:val="auto"/>
          <w:kern w:val="0"/>
          <w:sz w:val="24"/>
          <w:szCs w:val="24"/>
          <w:highlight w:val="none"/>
          <w:lang w:val="en-US" w:eastAsia="zh-CN"/>
        </w:rPr>
      </w:pPr>
      <w:r>
        <w:rPr>
          <w:rFonts w:hint="default" w:ascii="Times New Roman" w:hAnsi="Times New Roman" w:cs="Times New Roman"/>
          <w:b/>
          <w:color w:val="auto"/>
          <w:kern w:val="0"/>
          <w:sz w:val="24"/>
          <w:szCs w:val="24"/>
          <w:highlight w:val="none"/>
        </w:rPr>
        <w:t>【案例</w:t>
      </w:r>
      <w:r>
        <w:rPr>
          <w:rFonts w:hint="default" w:ascii="Times New Roman" w:hAnsi="Times New Roman" w:cs="Times New Roman"/>
          <w:b/>
          <w:color w:val="auto"/>
          <w:kern w:val="0"/>
          <w:sz w:val="24"/>
          <w:szCs w:val="24"/>
          <w:highlight w:val="none"/>
          <w:lang w:eastAsia="zh-CN"/>
        </w:rPr>
        <w:t>一</w:t>
      </w:r>
      <w:r>
        <w:rPr>
          <w:rFonts w:hint="default" w:ascii="Times New Roman" w:hAnsi="Times New Roman" w:cs="Times New Roman"/>
          <w:b/>
          <w:color w:val="auto"/>
          <w:kern w:val="0"/>
          <w:sz w:val="24"/>
          <w:szCs w:val="24"/>
          <w:highlight w:val="none"/>
        </w:rPr>
        <w:t>】</w:t>
      </w:r>
      <w:r>
        <w:rPr>
          <w:rFonts w:hint="default" w:ascii="Times New Roman" w:hAnsi="Times New Roman" w:eastAsia="宋体" w:cs="Times New Roman"/>
          <w:b/>
          <w:color w:val="auto"/>
          <w:kern w:val="0"/>
          <w:sz w:val="24"/>
          <w:szCs w:val="24"/>
          <w:highlight w:val="none"/>
        </w:rPr>
        <w:t>资产评估明细表</w:t>
      </w:r>
      <w:r>
        <w:rPr>
          <w:rFonts w:hint="default" w:ascii="Times New Roman" w:hAnsi="Times New Roman" w:cs="Times New Roman"/>
          <w:b/>
          <w:color w:val="auto"/>
          <w:kern w:val="0"/>
          <w:sz w:val="24"/>
          <w:szCs w:val="24"/>
          <w:highlight w:val="none"/>
          <w:lang w:val="en-US" w:eastAsia="zh-CN"/>
        </w:rPr>
        <w:t xml:space="preserve"> 序号 1-2</w:t>
      </w:r>
    </w:p>
    <w:p>
      <w:pPr>
        <w:keepNext/>
        <w:keepLines/>
        <w:pageBreakBefore w:val="0"/>
        <w:widowControl w:val="0"/>
        <w:kinsoku/>
        <w:wordWrap/>
        <w:overflowPunct/>
        <w:topLinePunct w:val="0"/>
        <w:autoSpaceDE w:val="0"/>
        <w:autoSpaceDN w:val="0"/>
        <w:bidi w:val="0"/>
        <w:adjustRightInd w:val="0"/>
        <w:snapToGrid w:val="0"/>
        <w:spacing w:after="0" w:line="520" w:lineRule="exact"/>
        <w:ind w:firstLine="482" w:firstLineChars="200"/>
        <w:jc w:val="both"/>
        <w:textAlignment w:val="bottom"/>
        <w:outlineLvl w:val="2"/>
        <w:rPr>
          <w:rFonts w:hint="default" w:ascii="Times New Roman" w:hAnsi="Times New Roman" w:eastAsia="宋体" w:cs="Times New Roman"/>
          <w:b/>
          <w:color w:val="auto"/>
          <w:kern w:val="0"/>
          <w:sz w:val="24"/>
          <w:szCs w:val="24"/>
          <w:highlight w:val="none"/>
          <w:lang w:val="en-US" w:eastAsia="zh-CN"/>
        </w:rPr>
      </w:pPr>
      <w:r>
        <w:rPr>
          <w:rFonts w:hint="eastAsia" w:ascii="Times New Roman" w:hAnsi="Times New Roman" w:cs="Times New Roman"/>
          <w:b/>
          <w:color w:val="auto"/>
          <w:kern w:val="0"/>
          <w:sz w:val="24"/>
          <w:szCs w:val="24"/>
          <w:highlight w:val="none"/>
          <w:lang w:eastAsia="zh-CN"/>
        </w:rPr>
        <w:t>烟台市永旺钢材城有限责任公司</w:t>
      </w:r>
      <w:r>
        <w:rPr>
          <w:rFonts w:hint="default" w:ascii="Times New Roman" w:hAnsi="Times New Roman" w:cs="Times New Roman"/>
          <w:b/>
          <w:color w:val="auto"/>
          <w:kern w:val="0"/>
          <w:sz w:val="24"/>
          <w:szCs w:val="24"/>
          <w:highlight w:val="none"/>
          <w:lang w:eastAsia="zh-CN"/>
        </w:rPr>
        <w:t>名下土地使用权</w:t>
      </w:r>
    </w:p>
    <w:bookmarkEnd w:id="37"/>
    <w:bookmarkEnd w:id="38"/>
    <w:tbl>
      <w:tblPr>
        <w:tblStyle w:val="36"/>
        <w:tblW w:w="5016"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autofit"/>
        <w:tblCellMar>
          <w:top w:w="0" w:type="dxa"/>
          <w:left w:w="0" w:type="dxa"/>
          <w:bottom w:w="0" w:type="dxa"/>
          <w:right w:w="0" w:type="dxa"/>
        </w:tblCellMar>
      </w:tblPr>
      <w:tblGrid>
        <w:gridCol w:w="1526"/>
        <w:gridCol w:w="1407"/>
        <w:gridCol w:w="1453"/>
        <w:gridCol w:w="980"/>
        <w:gridCol w:w="1157"/>
        <w:gridCol w:w="1184"/>
        <w:gridCol w:w="1310"/>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478" w:hRule="exact"/>
        </w:trPr>
        <w:tc>
          <w:tcPr>
            <w:tcW w:w="846" w:type="pct"/>
            <w:tcBorders>
              <w:top w:val="doub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产权证书</w:t>
            </w:r>
          </w:p>
        </w:tc>
        <w:tc>
          <w:tcPr>
            <w:tcW w:w="780" w:type="pct"/>
            <w:tcBorders>
              <w:top w:val="doub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产权登记人</w:t>
            </w:r>
          </w:p>
        </w:tc>
        <w:tc>
          <w:tcPr>
            <w:tcW w:w="805" w:type="pct"/>
            <w:tcBorders>
              <w:top w:val="doub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坐落</w:t>
            </w:r>
          </w:p>
        </w:tc>
        <w:tc>
          <w:tcPr>
            <w:tcW w:w="543" w:type="pct"/>
            <w:tcBorders>
              <w:top w:val="doub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用途</w:t>
            </w:r>
          </w:p>
        </w:tc>
        <w:tc>
          <w:tcPr>
            <w:tcW w:w="641" w:type="pct"/>
            <w:tcBorders>
              <w:top w:val="doub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开发程度</w:t>
            </w:r>
          </w:p>
        </w:tc>
        <w:tc>
          <w:tcPr>
            <w:tcW w:w="656" w:type="pct"/>
            <w:tcBorders>
              <w:top w:val="doub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数量（㎡）</w:t>
            </w:r>
          </w:p>
        </w:tc>
        <w:tc>
          <w:tcPr>
            <w:tcW w:w="726" w:type="pct"/>
            <w:tcBorders>
              <w:top w:val="doub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备注</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747" w:hRule="exact"/>
        </w:trPr>
        <w:tc>
          <w:tcPr>
            <w:tcW w:w="846"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海国用（2008）第003号</w:t>
            </w:r>
          </w:p>
        </w:tc>
        <w:tc>
          <w:tcPr>
            <w:tcW w:w="780"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烟台市永旺钢材城有限责任公司</w:t>
            </w:r>
          </w:p>
        </w:tc>
        <w:tc>
          <w:tcPr>
            <w:tcW w:w="805" w:type="pct"/>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bidi="ar-SA"/>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海阳市东村工业组团</w:t>
            </w:r>
          </w:p>
        </w:tc>
        <w:tc>
          <w:tcPr>
            <w:tcW w:w="543"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工业用地</w:t>
            </w:r>
          </w:p>
        </w:tc>
        <w:tc>
          <w:tcPr>
            <w:tcW w:w="641"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五通一平</w:t>
            </w:r>
          </w:p>
        </w:tc>
        <w:tc>
          <w:tcPr>
            <w:tcW w:w="656"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9,396.08</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w:t>
            </w:r>
          </w:p>
        </w:tc>
        <w:tc>
          <w:tcPr>
            <w:tcW w:w="726"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2056/12/27</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480" w:lineRule="exact"/>
        <w:ind w:leftChars="0" w:firstLine="480" w:firstLineChars="200"/>
        <w:jc w:val="both"/>
        <w:textAlignment w:val="auto"/>
        <w:outlineLvl w:val="9"/>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rPr>
        <w:t>1、</w:t>
      </w:r>
      <w:r>
        <w:rPr>
          <w:rFonts w:hint="default" w:ascii="Times New Roman" w:hAnsi="Times New Roman" w:eastAsia="宋体" w:cs="Times New Roman"/>
          <w:b w:val="0"/>
          <w:bCs w:val="0"/>
          <w:color w:val="auto"/>
          <w:kern w:val="0"/>
          <w:sz w:val="24"/>
          <w:szCs w:val="24"/>
          <w:highlight w:val="none"/>
        </w:rPr>
        <w:t>比较实例的选择</w:t>
      </w:r>
    </w:p>
    <w:p>
      <w:pPr>
        <w:keepNext w:val="0"/>
        <w:keepLines w:val="0"/>
        <w:pageBreakBefore w:val="0"/>
        <w:shd w:val="clear" w:color="auto" w:fill="auto"/>
        <w:kinsoku/>
        <w:wordWrap/>
        <w:overflowPunct/>
        <w:topLinePunct/>
        <w:autoSpaceDE/>
        <w:autoSpaceDN/>
        <w:bidi w:val="0"/>
        <w:adjustRightInd/>
        <w:snapToGrid/>
        <w:spacing w:after="0" w:line="48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通过调查分析，我们分别选择了近期发生交易的与待估宗地条件类似的3个比较案例，具体选择原则如下：</w:t>
      </w:r>
    </w:p>
    <w:p>
      <w:pPr>
        <w:keepNext w:val="0"/>
        <w:keepLines w:val="0"/>
        <w:pageBreakBefore w:val="0"/>
        <w:shd w:val="clear" w:color="auto" w:fill="auto"/>
        <w:kinsoku/>
        <w:wordWrap/>
        <w:overflowPunct/>
        <w:topLinePunct/>
        <w:autoSpaceDE/>
        <w:autoSpaceDN/>
        <w:bidi w:val="0"/>
        <w:adjustRightInd/>
        <w:snapToGrid/>
        <w:spacing w:after="0" w:line="48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1 \* GB3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①</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与待估宗地属同一供需圈；② 与待估宗地用途应相同；③ 与待估宗地的交易类型相同；④ 与待估宗地的估价期日接近；⑤ 交易案例必须为正常交易，或修正为正常交易。各交易案例具体情况如下：</w:t>
      </w:r>
    </w:p>
    <w:p>
      <w:pPr>
        <w:pageBreakBefore w:val="0"/>
        <w:shd w:val="clear" w:color="auto" w:fill="auto"/>
        <w:tabs>
          <w:tab w:val="left" w:pos="630"/>
          <w:tab w:val="left" w:pos="945"/>
        </w:tabs>
        <w:kinsoku/>
        <w:wordWrap/>
        <w:overflowPunct/>
        <w:bidi w:val="0"/>
        <w:spacing w:after="0" w:line="480" w:lineRule="exact"/>
        <w:jc w:val="center"/>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
          <w:color w:val="auto"/>
          <w:sz w:val="24"/>
          <w:szCs w:val="24"/>
          <w:highlight w:val="none"/>
        </w:rPr>
        <w:t>案例A</w:t>
      </w:r>
    </w:p>
    <w:tbl>
      <w:tblPr>
        <w:tblStyle w:val="36"/>
        <w:tblW w:w="9271" w:type="dxa"/>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1305"/>
        <w:gridCol w:w="798"/>
        <w:gridCol w:w="551"/>
        <w:gridCol w:w="552"/>
        <w:gridCol w:w="552"/>
        <w:gridCol w:w="1102"/>
        <w:gridCol w:w="551"/>
        <w:gridCol w:w="692"/>
        <w:gridCol w:w="410"/>
        <w:gridCol w:w="1099"/>
        <w:gridCol w:w="1659"/>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9271" w:type="dxa"/>
            <w:gridSpan w:val="11"/>
            <w:tcBorders>
              <w:tl2br w:val="nil"/>
              <w:tr2bl w:val="nil"/>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rPr>
              <w:t>供地结果信息</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行政区:</w:t>
            </w:r>
          </w:p>
        </w:tc>
        <w:tc>
          <w:tcPr>
            <w:tcW w:w="4798" w:type="dxa"/>
            <w:gridSpan w:val="7"/>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山东省烟台市海阳市</w:t>
            </w: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电子监管号：</w:t>
            </w:r>
          </w:p>
        </w:tc>
        <w:tc>
          <w:tcPr>
            <w:tcW w:w="1659"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3706872021B00724</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66" w:type="dxa"/>
            <w:gridSpan w:val="10"/>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山东杰瑞纺织科技有限公司检品检验生产车间</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项目位置：</w:t>
            </w:r>
          </w:p>
        </w:tc>
        <w:tc>
          <w:tcPr>
            <w:tcW w:w="7966" w:type="dxa"/>
            <w:gridSpan w:val="10"/>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海天路北、山海路东</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面积(㎡)：</w:t>
            </w:r>
          </w:p>
        </w:tc>
        <w:tc>
          <w:tcPr>
            <w:tcW w:w="2453"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13342.23</w:t>
            </w:r>
          </w:p>
        </w:tc>
        <w:tc>
          <w:tcPr>
            <w:tcW w:w="165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土地来源：</w:t>
            </w:r>
          </w:p>
        </w:tc>
        <w:tc>
          <w:tcPr>
            <w:tcW w:w="3860"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新增建设用地</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土地用途：</w:t>
            </w:r>
          </w:p>
        </w:tc>
        <w:tc>
          <w:tcPr>
            <w:tcW w:w="2453"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工业用地</w:t>
            </w:r>
          </w:p>
        </w:tc>
        <w:tc>
          <w:tcPr>
            <w:tcW w:w="165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供地方式：</w:t>
            </w:r>
          </w:p>
        </w:tc>
        <w:tc>
          <w:tcPr>
            <w:tcW w:w="3860"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挂牌出让</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土地使用年限：</w:t>
            </w:r>
          </w:p>
        </w:tc>
        <w:tc>
          <w:tcPr>
            <w:tcW w:w="2453"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65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行业分类：</w:t>
            </w:r>
          </w:p>
        </w:tc>
        <w:tc>
          <w:tcPr>
            <w:tcW w:w="3860"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科技交流和推广服务业</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土地级别：</w:t>
            </w:r>
          </w:p>
        </w:tc>
        <w:tc>
          <w:tcPr>
            <w:tcW w:w="2453"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三级</w:t>
            </w:r>
          </w:p>
        </w:tc>
        <w:tc>
          <w:tcPr>
            <w:tcW w:w="165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成交价格(万元)：</w:t>
            </w:r>
          </w:p>
        </w:tc>
        <w:tc>
          <w:tcPr>
            <w:tcW w:w="3860"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281</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分期支付约定：</w:t>
            </w:r>
          </w:p>
        </w:tc>
        <w:tc>
          <w:tcPr>
            <w:tcW w:w="1901"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支付期号</w:t>
            </w:r>
          </w:p>
        </w:tc>
        <w:tc>
          <w:tcPr>
            <w:tcW w:w="1654"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约定支付日期</w:t>
            </w:r>
          </w:p>
        </w:tc>
        <w:tc>
          <w:tcPr>
            <w:tcW w:w="1653"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约定支付金额</w:t>
            </w:r>
          </w:p>
        </w:tc>
        <w:tc>
          <w:tcPr>
            <w:tcW w:w="275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备注</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vMerge w:val="continue"/>
            <w:tcBorders>
              <w:tl2br w:val="nil"/>
              <w:tr2bl w:val="nil"/>
            </w:tcBorders>
            <w:noWrap w:val="0"/>
            <w:tcMar>
              <w:top w:w="15" w:type="dxa"/>
              <w:left w:w="15" w:type="dxa"/>
              <w:right w:w="15" w:type="dxa"/>
            </w:tcMar>
            <w:vAlign w:val="center"/>
          </w:tcPr>
          <w:p>
            <w:pPr>
              <w:jc w:val="left"/>
              <w:rPr>
                <w:rFonts w:hint="default" w:ascii="Times New Roman" w:hAnsi="Times New Roman" w:eastAsia="宋体" w:cs="Times New Roman"/>
                <w:i w:val="0"/>
                <w:iCs w:val="0"/>
                <w:color w:val="000000"/>
                <w:kern w:val="0"/>
                <w:sz w:val="18"/>
                <w:szCs w:val="18"/>
                <w:u w:val="none"/>
                <w:lang w:val="en-US" w:eastAsia="zh-CN" w:bidi="ar"/>
              </w:rPr>
            </w:pPr>
          </w:p>
        </w:tc>
        <w:tc>
          <w:tcPr>
            <w:tcW w:w="1901"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54"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2022-1-27</w:t>
            </w:r>
          </w:p>
        </w:tc>
        <w:tc>
          <w:tcPr>
            <w:tcW w:w="1653"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281</w:t>
            </w:r>
          </w:p>
        </w:tc>
        <w:tc>
          <w:tcPr>
            <w:tcW w:w="275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土地使用权人：</w:t>
            </w:r>
          </w:p>
        </w:tc>
        <w:tc>
          <w:tcPr>
            <w:tcW w:w="7966" w:type="dxa"/>
            <w:gridSpan w:val="10"/>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山东杰瑞纺织科技有限公司</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约定容积率：</w:t>
            </w:r>
          </w:p>
        </w:tc>
        <w:tc>
          <w:tcPr>
            <w:tcW w:w="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下限：</w:t>
            </w:r>
          </w:p>
        </w:tc>
        <w:tc>
          <w:tcPr>
            <w:tcW w:w="551"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52"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上限：</w:t>
            </w:r>
          </w:p>
        </w:tc>
        <w:tc>
          <w:tcPr>
            <w:tcW w:w="552"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65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约定交地时间：</w:t>
            </w:r>
          </w:p>
        </w:tc>
        <w:tc>
          <w:tcPr>
            <w:tcW w:w="3860"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2022-1-27</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约定开工时间：</w:t>
            </w:r>
          </w:p>
        </w:tc>
        <w:tc>
          <w:tcPr>
            <w:tcW w:w="2453"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2023-1-27</w:t>
            </w:r>
          </w:p>
        </w:tc>
        <w:tc>
          <w:tcPr>
            <w:tcW w:w="165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约定竣工时间：</w:t>
            </w:r>
          </w:p>
        </w:tc>
        <w:tc>
          <w:tcPr>
            <w:tcW w:w="3860"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2026-1-27</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实际开工时间：</w:t>
            </w:r>
          </w:p>
        </w:tc>
        <w:tc>
          <w:tcPr>
            <w:tcW w:w="2453"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5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实际竣工时间：</w:t>
            </w:r>
          </w:p>
        </w:tc>
        <w:tc>
          <w:tcPr>
            <w:tcW w:w="3860"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批准单位：</w:t>
            </w:r>
          </w:p>
        </w:tc>
        <w:tc>
          <w:tcPr>
            <w:tcW w:w="2453"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海阳市</w:t>
            </w:r>
          </w:p>
        </w:tc>
        <w:tc>
          <w:tcPr>
            <w:tcW w:w="165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合同签订日期：</w:t>
            </w:r>
          </w:p>
        </w:tc>
        <w:tc>
          <w:tcPr>
            <w:tcW w:w="3860"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2021-12-28</w:t>
            </w:r>
          </w:p>
        </w:tc>
      </w:tr>
    </w:tbl>
    <w:p>
      <w:pPr>
        <w:keepNext w:val="0"/>
        <w:keepLines w:val="0"/>
        <w:pageBreakBefore w:val="0"/>
        <w:widowControl/>
        <w:shd w:val="clear" w:color="auto" w:fill="auto"/>
        <w:tabs>
          <w:tab w:val="left" w:pos="630"/>
          <w:tab w:val="left" w:pos="945"/>
        </w:tabs>
        <w:kinsoku/>
        <w:wordWrap/>
        <w:overflowPunct/>
        <w:topLinePunct w:val="0"/>
        <w:autoSpaceDE/>
        <w:autoSpaceDN/>
        <w:bidi w:val="0"/>
        <w:adjustRightInd/>
        <w:snapToGrid/>
        <w:spacing w:after="0" w:line="360" w:lineRule="auto"/>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案例B</w:t>
      </w:r>
    </w:p>
    <w:tbl>
      <w:tblPr>
        <w:tblStyle w:val="36"/>
        <w:tblW w:w="9420" w:type="dxa"/>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1325"/>
        <w:gridCol w:w="1588"/>
        <w:gridCol w:w="1095"/>
        <w:gridCol w:w="1096"/>
        <w:gridCol w:w="1096"/>
        <w:gridCol w:w="1021"/>
        <w:gridCol w:w="511"/>
        <w:gridCol w:w="482"/>
        <w:gridCol w:w="1206"/>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9420" w:type="dxa"/>
            <w:gridSpan w:val="9"/>
            <w:tcBorders>
              <w:tl2br w:val="nil"/>
              <w:tr2bl w:val="nil"/>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rPr>
              <w:t>供地结果信息</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行政区：</w:t>
            </w:r>
          </w:p>
        </w:tc>
        <w:tc>
          <w:tcPr>
            <w:tcW w:w="4875"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山东省烟台市海阳市</w:t>
            </w:r>
          </w:p>
        </w:tc>
        <w:tc>
          <w:tcPr>
            <w:tcW w:w="1532"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电子监管号：</w:t>
            </w:r>
          </w:p>
        </w:tc>
        <w:tc>
          <w:tcPr>
            <w:tcW w:w="168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3706872021B00735</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59"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095" w:type="dxa"/>
            <w:gridSpan w:val="8"/>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山东杰瑞纺织科技有限公司针织毛衫产品设计研发中心项目</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项目位置：</w:t>
            </w:r>
          </w:p>
        </w:tc>
        <w:tc>
          <w:tcPr>
            <w:tcW w:w="8095" w:type="dxa"/>
            <w:gridSpan w:val="8"/>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海天路北、山海路东</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面积(㎡)：</w:t>
            </w:r>
          </w:p>
        </w:tc>
        <w:tc>
          <w:tcPr>
            <w:tcW w:w="4875"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10229.02</w:t>
            </w:r>
          </w:p>
        </w:tc>
        <w:tc>
          <w:tcPr>
            <w:tcW w:w="1532"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土地来源：</w:t>
            </w:r>
          </w:p>
        </w:tc>
        <w:tc>
          <w:tcPr>
            <w:tcW w:w="168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新增建设用地</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土地用途：</w:t>
            </w:r>
          </w:p>
        </w:tc>
        <w:tc>
          <w:tcPr>
            <w:tcW w:w="4875"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工业用地</w:t>
            </w:r>
          </w:p>
        </w:tc>
        <w:tc>
          <w:tcPr>
            <w:tcW w:w="1532"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供地方式：</w:t>
            </w:r>
          </w:p>
        </w:tc>
        <w:tc>
          <w:tcPr>
            <w:tcW w:w="168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挂牌出让</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土地使用年限：</w:t>
            </w:r>
          </w:p>
        </w:tc>
        <w:tc>
          <w:tcPr>
            <w:tcW w:w="4875"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532"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行业分类：</w:t>
            </w:r>
          </w:p>
        </w:tc>
        <w:tc>
          <w:tcPr>
            <w:tcW w:w="168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科技交流和推广服务业</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土地级别：</w:t>
            </w:r>
          </w:p>
        </w:tc>
        <w:tc>
          <w:tcPr>
            <w:tcW w:w="4875"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三级</w:t>
            </w:r>
          </w:p>
        </w:tc>
        <w:tc>
          <w:tcPr>
            <w:tcW w:w="1532"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成交价格(万元)：</w:t>
            </w:r>
          </w:p>
        </w:tc>
        <w:tc>
          <w:tcPr>
            <w:tcW w:w="168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215</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分期支付约定：</w:t>
            </w:r>
          </w:p>
        </w:tc>
        <w:tc>
          <w:tcPr>
            <w:tcW w:w="3779"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支付期号</w:t>
            </w:r>
          </w:p>
        </w:tc>
        <w:tc>
          <w:tcPr>
            <w:tcW w:w="2117"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约定支付日期</w:t>
            </w:r>
          </w:p>
        </w:tc>
        <w:tc>
          <w:tcPr>
            <w:tcW w:w="99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约定支付金额</w:t>
            </w:r>
          </w:p>
        </w:tc>
        <w:tc>
          <w:tcPr>
            <w:tcW w:w="120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备注</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vMerge w:val="continue"/>
            <w:tcBorders>
              <w:tl2br w:val="nil"/>
              <w:tr2bl w:val="nil"/>
            </w:tcBorders>
            <w:noWrap w:val="0"/>
            <w:tcMar>
              <w:top w:w="15" w:type="dxa"/>
              <w:left w:w="15" w:type="dxa"/>
              <w:right w:w="15" w:type="dxa"/>
            </w:tcMar>
            <w:vAlign w:val="center"/>
          </w:tcPr>
          <w:p>
            <w:pPr>
              <w:jc w:val="left"/>
              <w:rPr>
                <w:rFonts w:hint="default" w:ascii="Times New Roman" w:hAnsi="Times New Roman" w:eastAsia="宋体" w:cs="Times New Roman"/>
                <w:i w:val="0"/>
                <w:iCs w:val="0"/>
                <w:color w:val="000000"/>
                <w:kern w:val="0"/>
                <w:sz w:val="18"/>
                <w:szCs w:val="18"/>
                <w:u w:val="none"/>
                <w:lang w:val="en-US" w:eastAsia="zh-CN" w:bidi="ar"/>
              </w:rPr>
            </w:pPr>
          </w:p>
        </w:tc>
        <w:tc>
          <w:tcPr>
            <w:tcW w:w="3779"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17"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2022-1-27</w:t>
            </w:r>
          </w:p>
        </w:tc>
        <w:tc>
          <w:tcPr>
            <w:tcW w:w="993"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120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土地使用权人：</w:t>
            </w:r>
          </w:p>
        </w:tc>
        <w:tc>
          <w:tcPr>
            <w:tcW w:w="8095" w:type="dxa"/>
            <w:gridSpan w:val="8"/>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山东杰瑞纺织科技有限公司</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约定容积率：</w:t>
            </w:r>
          </w:p>
        </w:tc>
        <w:tc>
          <w:tcPr>
            <w:tcW w:w="158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下限：</w:t>
            </w:r>
          </w:p>
        </w:tc>
        <w:tc>
          <w:tcPr>
            <w:tcW w:w="109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09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上限：</w:t>
            </w:r>
          </w:p>
        </w:tc>
        <w:tc>
          <w:tcPr>
            <w:tcW w:w="109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532"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约定交地时间：</w:t>
            </w:r>
          </w:p>
        </w:tc>
        <w:tc>
          <w:tcPr>
            <w:tcW w:w="168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2022-1-27</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约定开工时间：</w:t>
            </w:r>
          </w:p>
        </w:tc>
        <w:tc>
          <w:tcPr>
            <w:tcW w:w="4875"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2023-1-27</w:t>
            </w:r>
          </w:p>
        </w:tc>
        <w:tc>
          <w:tcPr>
            <w:tcW w:w="1532"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约定竣工时间：</w:t>
            </w:r>
          </w:p>
        </w:tc>
        <w:tc>
          <w:tcPr>
            <w:tcW w:w="168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2026-1-27</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实际开工时间：</w:t>
            </w:r>
          </w:p>
        </w:tc>
        <w:tc>
          <w:tcPr>
            <w:tcW w:w="4875"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2"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实际竣工时间：</w:t>
            </w:r>
          </w:p>
        </w:tc>
        <w:tc>
          <w:tcPr>
            <w:tcW w:w="168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91" w:hRule="exact"/>
        </w:trPr>
        <w:tc>
          <w:tcPr>
            <w:tcW w:w="132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批准单位：</w:t>
            </w:r>
          </w:p>
        </w:tc>
        <w:tc>
          <w:tcPr>
            <w:tcW w:w="4875"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海阳市</w:t>
            </w:r>
          </w:p>
        </w:tc>
        <w:tc>
          <w:tcPr>
            <w:tcW w:w="1532"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合同签订日期：</w:t>
            </w:r>
          </w:p>
        </w:tc>
        <w:tc>
          <w:tcPr>
            <w:tcW w:w="168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2021-12-28</w:t>
            </w:r>
          </w:p>
        </w:tc>
      </w:tr>
    </w:tbl>
    <w:p>
      <w:pPr>
        <w:keepNext w:val="0"/>
        <w:keepLines w:val="0"/>
        <w:pageBreakBefore w:val="0"/>
        <w:widowControl/>
        <w:shd w:val="clear" w:color="auto" w:fill="auto"/>
        <w:tabs>
          <w:tab w:val="left" w:pos="630"/>
          <w:tab w:val="left" w:pos="945"/>
        </w:tabs>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案例C</w:t>
      </w:r>
    </w:p>
    <w:tbl>
      <w:tblPr>
        <w:tblStyle w:val="36"/>
        <w:tblW w:w="9271" w:type="dxa"/>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1305"/>
        <w:gridCol w:w="1563"/>
        <w:gridCol w:w="1078"/>
        <w:gridCol w:w="1078"/>
        <w:gridCol w:w="1079"/>
        <w:gridCol w:w="1006"/>
        <w:gridCol w:w="503"/>
        <w:gridCol w:w="474"/>
        <w:gridCol w:w="1185"/>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9271" w:type="dxa"/>
            <w:gridSpan w:val="9"/>
            <w:tcBorders>
              <w:tl2br w:val="nil"/>
              <w:tr2bl w:val="nil"/>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rPr>
              <w:t>供地结果信息</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行政区：</w:t>
            </w:r>
          </w:p>
        </w:tc>
        <w:tc>
          <w:tcPr>
            <w:tcW w:w="4798"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山东省烟台市海阳市</w:t>
            </w: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电子监管号：</w:t>
            </w:r>
          </w:p>
        </w:tc>
        <w:tc>
          <w:tcPr>
            <w:tcW w:w="165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3706872021B00708</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66" w:type="dxa"/>
            <w:gridSpan w:val="8"/>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圣士达机械加工制造</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项目位置：</w:t>
            </w:r>
          </w:p>
        </w:tc>
        <w:tc>
          <w:tcPr>
            <w:tcW w:w="7966" w:type="dxa"/>
            <w:gridSpan w:val="8"/>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海发路南、山海路东</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面积(㎡)：</w:t>
            </w:r>
          </w:p>
        </w:tc>
        <w:tc>
          <w:tcPr>
            <w:tcW w:w="4798"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27227.39</w:t>
            </w: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土地来源：</w:t>
            </w:r>
          </w:p>
        </w:tc>
        <w:tc>
          <w:tcPr>
            <w:tcW w:w="165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新增建设用地</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土地用途：</w:t>
            </w:r>
          </w:p>
        </w:tc>
        <w:tc>
          <w:tcPr>
            <w:tcW w:w="4798"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工业用地</w:t>
            </w: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供地方式：</w:t>
            </w:r>
          </w:p>
        </w:tc>
        <w:tc>
          <w:tcPr>
            <w:tcW w:w="165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挂牌出让</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土地使用年限：</w:t>
            </w:r>
          </w:p>
        </w:tc>
        <w:tc>
          <w:tcPr>
            <w:tcW w:w="4798"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行业分类：</w:t>
            </w:r>
          </w:p>
        </w:tc>
        <w:tc>
          <w:tcPr>
            <w:tcW w:w="165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其它</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土地级别：</w:t>
            </w:r>
          </w:p>
        </w:tc>
        <w:tc>
          <w:tcPr>
            <w:tcW w:w="4798"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三级</w:t>
            </w: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成交价格(万元)：</w:t>
            </w:r>
          </w:p>
        </w:tc>
        <w:tc>
          <w:tcPr>
            <w:tcW w:w="165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572</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分期支付约定：</w:t>
            </w:r>
          </w:p>
        </w:tc>
        <w:tc>
          <w:tcPr>
            <w:tcW w:w="3719"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支付期号</w:t>
            </w:r>
          </w:p>
        </w:tc>
        <w:tc>
          <w:tcPr>
            <w:tcW w:w="2085"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约定支付日期</w:t>
            </w:r>
          </w:p>
        </w:tc>
        <w:tc>
          <w:tcPr>
            <w:tcW w:w="977"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约定支付金额</w:t>
            </w:r>
          </w:p>
        </w:tc>
        <w:tc>
          <w:tcPr>
            <w:tcW w:w="118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备注</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vMerge w:val="continue"/>
            <w:tcBorders>
              <w:tl2br w:val="nil"/>
              <w:tr2bl w:val="nil"/>
            </w:tcBorders>
            <w:noWrap w:val="0"/>
            <w:tcMar>
              <w:top w:w="15" w:type="dxa"/>
              <w:left w:w="15" w:type="dxa"/>
              <w:right w:w="15" w:type="dxa"/>
            </w:tcMar>
            <w:vAlign w:val="center"/>
          </w:tcPr>
          <w:p>
            <w:pPr>
              <w:jc w:val="left"/>
              <w:rPr>
                <w:rFonts w:hint="default" w:ascii="Times New Roman" w:hAnsi="Times New Roman" w:eastAsia="宋体" w:cs="Times New Roman"/>
                <w:i w:val="0"/>
                <w:iCs w:val="0"/>
                <w:color w:val="000000"/>
                <w:kern w:val="0"/>
                <w:sz w:val="18"/>
                <w:szCs w:val="18"/>
                <w:u w:val="none"/>
                <w:lang w:val="en-US" w:eastAsia="zh-CN" w:bidi="ar"/>
              </w:rPr>
            </w:pPr>
          </w:p>
        </w:tc>
        <w:tc>
          <w:tcPr>
            <w:tcW w:w="3719"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085"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2022-1-22</w:t>
            </w:r>
          </w:p>
        </w:tc>
        <w:tc>
          <w:tcPr>
            <w:tcW w:w="977"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572</w:t>
            </w:r>
          </w:p>
        </w:tc>
        <w:tc>
          <w:tcPr>
            <w:tcW w:w="118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土地使用权人：</w:t>
            </w:r>
          </w:p>
        </w:tc>
        <w:tc>
          <w:tcPr>
            <w:tcW w:w="7966" w:type="dxa"/>
            <w:gridSpan w:val="8"/>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山东圣士达机械科技股份有限公司</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约定容积率：</w:t>
            </w:r>
          </w:p>
        </w:tc>
        <w:tc>
          <w:tcPr>
            <w:tcW w:w="1563"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下限：</w:t>
            </w:r>
          </w:p>
        </w:tc>
        <w:tc>
          <w:tcPr>
            <w:tcW w:w="107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上限：</w:t>
            </w:r>
          </w:p>
        </w:tc>
        <w:tc>
          <w:tcPr>
            <w:tcW w:w="1079"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约定交地时间：</w:t>
            </w:r>
          </w:p>
        </w:tc>
        <w:tc>
          <w:tcPr>
            <w:tcW w:w="165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2022-1-22</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约定开工时间：</w:t>
            </w:r>
          </w:p>
        </w:tc>
        <w:tc>
          <w:tcPr>
            <w:tcW w:w="4798"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2023-1-22</w:t>
            </w: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约定竣工时间：</w:t>
            </w:r>
          </w:p>
        </w:tc>
        <w:tc>
          <w:tcPr>
            <w:tcW w:w="165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2026-1-22</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实际开工时间：</w:t>
            </w:r>
          </w:p>
        </w:tc>
        <w:tc>
          <w:tcPr>
            <w:tcW w:w="4798"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实际竣工时间：</w:t>
            </w:r>
          </w:p>
        </w:tc>
        <w:tc>
          <w:tcPr>
            <w:tcW w:w="165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63" w:hRule="exact"/>
        </w:trPr>
        <w:tc>
          <w:tcPr>
            <w:tcW w:w="1305"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批准单位：</w:t>
            </w:r>
          </w:p>
        </w:tc>
        <w:tc>
          <w:tcPr>
            <w:tcW w:w="4798" w:type="dxa"/>
            <w:gridSpan w:val="4"/>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海阳市</w:t>
            </w:r>
          </w:p>
        </w:tc>
        <w:tc>
          <w:tcPr>
            <w:tcW w:w="150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合同签订日期：</w:t>
            </w:r>
          </w:p>
        </w:tc>
        <w:tc>
          <w:tcPr>
            <w:tcW w:w="1659"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2021-12-23</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480" w:lineRule="exact"/>
        <w:ind w:leftChars="0" w:firstLine="480" w:firstLineChars="200"/>
        <w:jc w:val="left"/>
        <w:textAlignment w:val="auto"/>
        <w:outlineLvl w:val="9"/>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2、比较因素选择</w:t>
      </w:r>
    </w:p>
    <w:p>
      <w:pPr>
        <w:keepNext w:val="0"/>
        <w:keepLines w:val="0"/>
        <w:pageBreakBefore w:val="0"/>
        <w:widowControl w:val="0"/>
        <w:shd w:val="clear" w:color="auto" w:fill="auto"/>
        <w:kinsoku/>
        <w:wordWrap/>
        <w:overflowPunct/>
        <w:topLinePunct w:val="0"/>
        <w:autoSpaceDE/>
        <w:autoSpaceDN/>
        <w:bidi w:val="0"/>
        <w:adjustRightInd/>
        <w:snapToGrid/>
        <w:spacing w:after="0" w:line="480" w:lineRule="exact"/>
        <w:ind w:left="0" w:leftChars="0" w:firstLine="480" w:firstLineChars="200"/>
        <w:jc w:val="both"/>
        <w:textAlignment w:val="auto"/>
        <w:outlineLvl w:val="9"/>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根据待估宗地的用途及所处区域的地价影响因素，影响</w:t>
      </w:r>
      <w:r>
        <w:rPr>
          <w:rFonts w:hint="default" w:ascii="Times New Roman" w:hAnsi="Times New Roman" w:cs="Times New Roman"/>
          <w:color w:val="auto"/>
          <w:kern w:val="0"/>
          <w:sz w:val="24"/>
          <w:szCs w:val="24"/>
          <w:highlight w:val="none"/>
          <w:lang w:eastAsia="zh-CN"/>
        </w:rPr>
        <w:t>咨询对象</w:t>
      </w:r>
      <w:r>
        <w:rPr>
          <w:rFonts w:hint="default" w:ascii="Times New Roman" w:hAnsi="Times New Roman" w:eastAsia="宋体" w:cs="Times New Roman"/>
          <w:color w:val="auto"/>
          <w:kern w:val="0"/>
          <w:sz w:val="24"/>
          <w:szCs w:val="24"/>
          <w:highlight w:val="none"/>
        </w:rPr>
        <w:t>价格的主要因素有：</w:t>
      </w:r>
    </w:p>
    <w:p>
      <w:pPr>
        <w:keepNext w:val="0"/>
        <w:keepLines w:val="0"/>
        <w:pageBreakBefore w:val="0"/>
        <w:widowControl w:val="0"/>
        <w:numPr>
          <w:ilvl w:val="0"/>
          <w:numId w:val="0"/>
        </w:numPr>
        <w:shd w:val="clear" w:color="auto" w:fill="auto"/>
        <w:tabs>
          <w:tab w:val="left" w:pos="840"/>
          <w:tab w:val="left" w:pos="945"/>
        </w:tabs>
        <w:kinsoku/>
        <w:wordWrap/>
        <w:overflowPunct/>
        <w:topLinePunct w:val="0"/>
        <w:autoSpaceDE/>
        <w:autoSpaceDN/>
        <w:bidi w:val="0"/>
        <w:adjustRightInd/>
        <w:snapToGrid/>
        <w:spacing w:after="0" w:line="48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rPr>
        <w:t xml:space="preserve">① </w:t>
      </w:r>
      <w:r>
        <w:rPr>
          <w:rFonts w:hint="default" w:ascii="Times New Roman" w:hAnsi="Times New Roman" w:cs="Times New Roman"/>
          <w:color w:val="auto"/>
          <w:sz w:val="24"/>
          <w:szCs w:val="24"/>
          <w:highlight w:val="none"/>
        </w:rPr>
        <w:t>交易时间：三个交易案例时间根据地价监测数据进行调整。</w:t>
      </w:r>
    </w:p>
    <w:p>
      <w:pPr>
        <w:keepNext w:val="0"/>
        <w:keepLines w:val="0"/>
        <w:pageBreakBefore w:val="0"/>
        <w:widowControl w:val="0"/>
        <w:numPr>
          <w:ilvl w:val="0"/>
          <w:numId w:val="0"/>
        </w:numPr>
        <w:shd w:val="clear" w:color="auto" w:fill="auto"/>
        <w:tabs>
          <w:tab w:val="left" w:pos="840"/>
          <w:tab w:val="left" w:pos="945"/>
        </w:tabs>
        <w:kinsoku/>
        <w:wordWrap/>
        <w:overflowPunct/>
        <w:topLinePunct w:val="0"/>
        <w:autoSpaceDE/>
        <w:autoSpaceDN/>
        <w:bidi w:val="0"/>
        <w:adjustRightInd/>
        <w:snapToGrid/>
        <w:spacing w:after="0" w:line="48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rPr>
        <w:t xml:space="preserve">② </w:t>
      </w:r>
      <w:r>
        <w:rPr>
          <w:rFonts w:hint="default" w:ascii="Times New Roman" w:hAnsi="Times New Roman" w:cs="Times New Roman"/>
          <w:color w:val="auto"/>
          <w:sz w:val="24"/>
          <w:szCs w:val="24"/>
          <w:highlight w:val="none"/>
        </w:rPr>
        <w:t>交易情况：均为正常、公开、公平、自愿的交易，均取值100。</w:t>
      </w:r>
    </w:p>
    <w:p>
      <w:pPr>
        <w:keepNext w:val="0"/>
        <w:keepLines w:val="0"/>
        <w:pageBreakBefore w:val="0"/>
        <w:widowControl w:val="0"/>
        <w:numPr>
          <w:ilvl w:val="0"/>
          <w:numId w:val="0"/>
        </w:numPr>
        <w:shd w:val="clear" w:color="auto" w:fill="auto"/>
        <w:tabs>
          <w:tab w:val="left" w:pos="840"/>
          <w:tab w:val="left" w:pos="945"/>
        </w:tabs>
        <w:kinsoku/>
        <w:wordWrap/>
        <w:overflowPunct/>
        <w:topLinePunct w:val="0"/>
        <w:autoSpaceDE/>
        <w:autoSpaceDN/>
        <w:bidi w:val="0"/>
        <w:adjustRightInd/>
        <w:snapToGrid/>
        <w:spacing w:after="0" w:line="48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rPr>
        <w:t>③</w:t>
      </w:r>
      <w:r>
        <w:rPr>
          <w:rFonts w:hint="default" w:ascii="Times New Roman" w:hAnsi="Times New Roman" w:cs="Times New Roman"/>
          <w:color w:val="auto"/>
          <w:sz w:val="24"/>
          <w:szCs w:val="24"/>
          <w:highlight w:val="none"/>
        </w:rPr>
        <w:t>区域因素：主要有临路类型、基础设施配套程度、产业集聚规模、对外交通便捷度、生活便利度等。</w:t>
      </w:r>
    </w:p>
    <w:p>
      <w:pPr>
        <w:keepNext w:val="0"/>
        <w:keepLines w:val="0"/>
        <w:pageBreakBefore w:val="0"/>
        <w:widowControl w:val="0"/>
        <w:numPr>
          <w:ilvl w:val="0"/>
          <w:numId w:val="0"/>
        </w:numPr>
        <w:shd w:val="clear" w:color="auto" w:fill="auto"/>
        <w:tabs>
          <w:tab w:val="left" w:pos="840"/>
          <w:tab w:val="left" w:pos="945"/>
        </w:tabs>
        <w:kinsoku/>
        <w:wordWrap/>
        <w:overflowPunct/>
        <w:topLinePunct w:val="0"/>
        <w:autoSpaceDE/>
        <w:autoSpaceDN/>
        <w:bidi w:val="0"/>
        <w:adjustRightInd/>
        <w:snapToGrid/>
        <w:spacing w:after="0" w:line="48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rPr>
        <w:t>④</w:t>
      </w:r>
      <w:r>
        <w:rPr>
          <w:rFonts w:hint="default" w:ascii="Times New Roman" w:hAnsi="Times New Roman" w:cs="Times New Roman"/>
          <w:color w:val="auto"/>
          <w:sz w:val="24"/>
          <w:szCs w:val="24"/>
          <w:highlight w:val="none"/>
        </w:rPr>
        <w:t>个别因素：主要指宗地坡度、供排水状况、供电状况、宗地面积与形状、规划限制等。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480" w:lineRule="exact"/>
        <w:ind w:leftChars="0" w:firstLine="480" w:firstLineChars="200"/>
        <w:jc w:val="both"/>
        <w:textAlignment w:val="auto"/>
        <w:outlineLvl w:val="9"/>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3、编制比较因素条件说明表、因素比较修正系数表、比准价格计算表</w:t>
      </w:r>
    </w:p>
    <w:p>
      <w:pPr>
        <w:keepNext w:val="0"/>
        <w:keepLines w:val="0"/>
        <w:pageBreakBefore w:val="0"/>
        <w:shd w:val="clear" w:color="auto" w:fill="auto"/>
        <w:tabs>
          <w:tab w:val="left" w:pos="840"/>
          <w:tab w:val="left" w:pos="945"/>
        </w:tabs>
        <w:kinsoku/>
        <w:wordWrap/>
        <w:overflowPunct/>
        <w:topLinePunct w:val="0"/>
        <w:autoSpaceDE/>
        <w:autoSpaceDN/>
        <w:bidi w:val="0"/>
        <w:adjustRightInd/>
        <w:snapToGrid/>
        <w:spacing w:after="0" w:line="48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结合市场法分值调整原则和估价人员的经验，分析区域因素及个别因素影响地价的重要程度，结合待估宗地 的具体情况，编制比较因素条件说明表、因素比较修正系数表和比准价格计算表。</w:t>
      </w:r>
    </w:p>
    <w:p>
      <w:pPr>
        <w:keepNext w:val="0"/>
        <w:keepLines w:val="0"/>
        <w:pageBreakBefore w:val="0"/>
        <w:widowControl/>
        <w:shd w:val="clear" w:color="auto" w:fill="auto"/>
        <w:tabs>
          <w:tab w:val="left" w:pos="630"/>
          <w:tab w:val="left" w:pos="945"/>
        </w:tabs>
        <w:kinsoku/>
        <w:wordWrap/>
        <w:overflowPunct/>
        <w:topLinePunct w:val="0"/>
        <w:autoSpaceDE/>
        <w:autoSpaceDN/>
        <w:bidi w:val="0"/>
        <w:adjustRightInd/>
        <w:snapToGrid/>
        <w:spacing w:after="0" w:line="360" w:lineRule="auto"/>
        <w:ind w:left="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表1  比较因素条件说明表</w:t>
      </w:r>
    </w:p>
    <w:tbl>
      <w:tblPr>
        <w:tblStyle w:val="36"/>
        <w:tblW w:w="4996" w:type="pct"/>
        <w:tblInd w:w="0"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40"/>
        <w:gridCol w:w="1684"/>
        <w:gridCol w:w="1712"/>
        <w:gridCol w:w="1778"/>
        <w:gridCol w:w="1721"/>
        <w:gridCol w:w="1732"/>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1213"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委估对象及可比实例    比较因素</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委估对象</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案例A</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案例B</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案例C</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89" w:hRule="atLeast"/>
        </w:trPr>
        <w:tc>
          <w:tcPr>
            <w:tcW w:w="1213"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交易时间</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2022-9-30</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2021-12-28</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2021-12-28</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2021-12-23</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89" w:hRule="atLeast"/>
        </w:trPr>
        <w:tc>
          <w:tcPr>
            <w:tcW w:w="1213"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使用年期</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34.24</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50</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50</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50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190" w:hRule="atLeast"/>
        </w:trPr>
        <w:tc>
          <w:tcPr>
            <w:tcW w:w="1213"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交易方式</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出让</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出让</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出让</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出让</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89" w:hRule="atLeast"/>
        </w:trPr>
        <w:tc>
          <w:tcPr>
            <w:tcW w:w="1213"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土地用途</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工业用地</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工业用地</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工业用地</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工业用地</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89" w:hRule="atLeast"/>
        </w:trPr>
        <w:tc>
          <w:tcPr>
            <w:tcW w:w="1213"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土地级别</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三级</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三级</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三级</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三级</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89" w:hRule="atLeast"/>
        </w:trPr>
        <w:tc>
          <w:tcPr>
            <w:tcW w:w="1213"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交易价格（元/平方米）</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待估</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211</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210</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210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295" w:type="pct"/>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区</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域</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因</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素</w:t>
            </w: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临路类型</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交通型次干道</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交通型次干道</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交通型次干道</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交通型次干道</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0" w:hRule="atLeast"/>
        </w:trPr>
        <w:tc>
          <w:tcPr>
            <w:tcW w:w="295"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区域基础设施配套程度</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五通一平，区域配套程度高</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五通一平，区域配套程度较高</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五通一平，区域配套程度较高</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五通一平，区域配套程度较高</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295"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区域产业集聚规模</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工业用地连片、辅助设施状况一般</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工业用地连片、辅助设施状况一般</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工业用地连片、辅助设施状况一般</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工业用地连片、辅助设施状况一般</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295"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对外交通便捷度</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距离主要交通节点较近</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距离主要交通节点较近</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距离主要交通节点较近</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距离主要交通节点较近</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295"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生活便利度</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便捷</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较便捷</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较便捷</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较便捷</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295" w:type="pct"/>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个</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别</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因</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素</w:t>
            </w: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宗地坡度</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平坦、坡度小</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平坦、坡度小</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平坦、坡度小</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平坦、坡度小</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295"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宗地供排水状况</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较通畅</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较通畅</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较通畅</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较通畅</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295"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宗地供电状况</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保证率高</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保证率较高</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保证率较高</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保证率较高</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295"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宗地面积与形状</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形状较规则，便于土地利用</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形状较规则，便于土地利用</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形状较规则，便于土地利用</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形状较规则，便于土地利用</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3" w:hRule="atLeast"/>
        </w:trPr>
        <w:tc>
          <w:tcPr>
            <w:tcW w:w="295"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1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规划限制</w:t>
            </w:r>
          </w:p>
        </w:tc>
        <w:tc>
          <w:tcPr>
            <w:tcW w:w="93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有一定限制</w:t>
            </w:r>
          </w:p>
        </w:tc>
        <w:tc>
          <w:tcPr>
            <w:tcW w:w="96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有一定限制</w:t>
            </w:r>
          </w:p>
        </w:tc>
        <w:tc>
          <w:tcPr>
            <w:tcW w:w="93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有一定限制</w:t>
            </w:r>
          </w:p>
        </w:tc>
        <w:tc>
          <w:tcPr>
            <w:tcW w:w="944"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有一定限制</w:t>
            </w:r>
          </w:p>
        </w:tc>
      </w:tr>
    </w:tbl>
    <w:p>
      <w:pPr>
        <w:keepNext w:val="0"/>
        <w:keepLines w:val="0"/>
        <w:pageBreakBefore w:val="0"/>
        <w:widowControl/>
        <w:shd w:val="clear" w:color="auto" w:fill="auto"/>
        <w:tabs>
          <w:tab w:val="left" w:pos="630"/>
          <w:tab w:val="left" w:pos="945"/>
        </w:tabs>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表2 因素比较修正系数表</w:t>
      </w:r>
    </w:p>
    <w:tbl>
      <w:tblPr>
        <w:tblStyle w:val="36"/>
        <w:tblW w:w="4998" w:type="pct"/>
        <w:tblInd w:w="0"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734"/>
        <w:gridCol w:w="2681"/>
        <w:gridCol w:w="1492"/>
        <w:gridCol w:w="1483"/>
        <w:gridCol w:w="1483"/>
        <w:gridCol w:w="1297"/>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1861"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委估对象及案例/比较因素</w:t>
            </w:r>
          </w:p>
        </w:tc>
        <w:tc>
          <w:tcPr>
            <w:tcW w:w="813"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委估对象</w:t>
            </w:r>
          </w:p>
        </w:tc>
        <w:tc>
          <w:tcPr>
            <w:tcW w:w="80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案例A</w:t>
            </w:r>
          </w:p>
        </w:tc>
        <w:tc>
          <w:tcPr>
            <w:tcW w:w="808"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案例B</w:t>
            </w:r>
          </w:p>
        </w:tc>
        <w:tc>
          <w:tcPr>
            <w:tcW w:w="707"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案例C</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1861"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交易时间</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2022-9-30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2021-12-28</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2021-12-28</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2021-12-23</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1861"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使用年期</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0.8894</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0.8894</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0.8894</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1861"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交易方式</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1861"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土地用途</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1861"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土地级别</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25" w:hRule="atLeast"/>
        </w:trPr>
        <w:tc>
          <w:tcPr>
            <w:tcW w:w="1861" w:type="pct"/>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交易价格（元/平方米）</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211</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210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210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区</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域</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因</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素</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临路类型</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区域基础设施配套程度</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98</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98</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98</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区域产业集聚规模</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对外交通便捷度</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生活便利度</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98</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98</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98</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个</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别</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因</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素</w:t>
            </w: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宗地坡度</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宗地供排水状况</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宗地供电状况</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98</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宗地面积与形状</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atLeast"/>
        </w:trPr>
        <w:tc>
          <w:tcPr>
            <w:tcW w:w="400" w:type="pct"/>
            <w:vMerge w:val="continue"/>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461"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规划限制</w:t>
            </w:r>
          </w:p>
        </w:tc>
        <w:tc>
          <w:tcPr>
            <w:tcW w:w="149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483"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c>
          <w:tcPr>
            <w:tcW w:w="129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100</w:t>
            </w:r>
          </w:p>
        </w:tc>
      </w:tr>
    </w:tbl>
    <w:p>
      <w:pPr>
        <w:keepNext w:val="0"/>
        <w:keepLines w:val="0"/>
        <w:pageBreakBefore w:val="0"/>
        <w:widowControl/>
        <w:shd w:val="clear" w:color="auto" w:fill="auto"/>
        <w:tabs>
          <w:tab w:val="left" w:pos="630"/>
          <w:tab w:val="left" w:pos="945"/>
        </w:tabs>
        <w:kinsoku/>
        <w:wordWrap/>
        <w:overflowPunct/>
        <w:topLinePunct w:val="0"/>
        <w:autoSpaceDE/>
        <w:autoSpaceDN/>
        <w:bidi w:val="0"/>
        <w:adjustRightInd/>
        <w:snapToGrid/>
        <w:spacing w:after="0" w:line="360" w:lineRule="auto"/>
        <w:ind w:left="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表3 比准价格计算表</w:t>
      </w:r>
    </w:p>
    <w:tbl>
      <w:tblPr>
        <w:tblStyle w:val="36"/>
        <w:tblW w:w="4998" w:type="pct"/>
        <w:tblInd w:w="0"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856"/>
        <w:gridCol w:w="2514"/>
        <w:gridCol w:w="1743"/>
        <w:gridCol w:w="1888"/>
        <w:gridCol w:w="2169"/>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1837"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委估对象及案例/比较因素</w:t>
            </w:r>
          </w:p>
        </w:tc>
        <w:tc>
          <w:tcPr>
            <w:tcW w:w="950"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案例A</w:t>
            </w:r>
          </w:p>
        </w:tc>
        <w:tc>
          <w:tcPr>
            <w:tcW w:w="10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案例B</w:t>
            </w:r>
          </w:p>
        </w:tc>
        <w:tc>
          <w:tcPr>
            <w:tcW w:w="118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案例C</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1837"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交易时间</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1.0689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1.0689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1.0689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1837"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使用年期</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0.8894</w:t>
            </w: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0.8894</w:t>
            </w: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0.8894</w:t>
            </w: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1837"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交易方式</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1837"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土地用途</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1837"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土地级别</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1837"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交易价格（元/平方米）</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211</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210</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t>210</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区</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域</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因</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素</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临路类型</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区域基础设施配套程度</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1.02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1.02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1.02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区域产业集聚规模</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对外交通便捷度</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生活便利度</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1.02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1.02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1.02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个</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别</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因</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素</w:t>
            </w: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宗地坡度</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宗地供排水状况</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宗地供电状况</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1.02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宗地面积与形状</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467" w:type="pct"/>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136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规划限制</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 xml:space="preserve">1.00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3" w:hRule="exact"/>
        </w:trPr>
        <w:tc>
          <w:tcPr>
            <w:tcW w:w="1837"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比准价格（元/㎡）</w:t>
            </w:r>
          </w:p>
        </w:tc>
        <w:tc>
          <w:tcPr>
            <w:tcW w:w="1743"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218</w:t>
            </w:r>
          </w:p>
        </w:tc>
        <w:tc>
          <w:tcPr>
            <w:tcW w:w="1888"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213</w:t>
            </w:r>
          </w:p>
        </w:tc>
        <w:tc>
          <w:tcPr>
            <w:tcW w:w="2169"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213</w:t>
            </w:r>
          </w:p>
        </w:tc>
      </w:tr>
    </w:tbl>
    <w:p>
      <w:pPr>
        <w:keepNext w:val="0"/>
        <w:keepLines w:val="0"/>
        <w:pageBreakBefore w:val="0"/>
        <w:shd w:val="clear" w:color="auto" w:fill="auto"/>
        <w:kinsoku/>
        <w:wordWrap/>
        <w:overflowPunct/>
        <w:topLinePunct w:val="0"/>
        <w:autoSpaceDE/>
        <w:autoSpaceDN/>
        <w:bidi w:val="0"/>
        <w:adjustRightInd/>
        <w:spacing w:after="0" w:line="48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1 \* GB3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①</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期日修正</w:t>
      </w:r>
    </w:p>
    <w:p>
      <w:pPr>
        <w:keepNext w:val="0"/>
        <w:keepLines w:val="0"/>
        <w:pageBreakBefore w:val="0"/>
        <w:shd w:val="clear" w:color="auto" w:fill="auto"/>
        <w:kinsoku/>
        <w:wordWrap/>
        <w:overflowPunct/>
        <w:topLinePunct w:val="0"/>
        <w:autoSpaceDE/>
        <w:autoSpaceDN/>
        <w:bidi w:val="0"/>
        <w:adjustRightInd/>
        <w:spacing w:after="0" w:line="48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三个交易案例时间分别为</w:t>
      </w:r>
      <w:r>
        <w:rPr>
          <w:rFonts w:hint="default" w:ascii="Times New Roman" w:hAnsi="Times New Roman" w:cs="Times New Roman"/>
          <w:color w:val="auto"/>
          <w:sz w:val="24"/>
          <w:szCs w:val="24"/>
          <w:highlight w:val="none"/>
          <w:lang w:val="en-US" w:eastAsia="zh-CN"/>
        </w:rPr>
        <w:t>2021</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12</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2021</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12</w:t>
      </w:r>
      <w:r>
        <w:rPr>
          <w:rFonts w:hint="default" w:ascii="Times New Roman" w:hAnsi="Times New Roman" w:cs="Times New Roman"/>
          <w:color w:val="auto"/>
          <w:sz w:val="24"/>
          <w:szCs w:val="24"/>
          <w:highlight w:val="none"/>
        </w:rPr>
        <w:t>月和</w:t>
      </w:r>
      <w:r>
        <w:rPr>
          <w:rFonts w:hint="default" w:ascii="Times New Roman" w:hAnsi="Times New Roman" w:cs="Times New Roman"/>
          <w:color w:val="auto"/>
          <w:sz w:val="24"/>
          <w:szCs w:val="24"/>
          <w:highlight w:val="none"/>
          <w:lang w:val="en-US" w:eastAsia="zh-CN"/>
        </w:rPr>
        <w:t>2021</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12</w:t>
      </w:r>
      <w:r>
        <w:rPr>
          <w:rFonts w:hint="default" w:ascii="Times New Roman" w:hAnsi="Times New Roman" w:cs="Times New Roman"/>
          <w:color w:val="auto"/>
          <w:sz w:val="24"/>
          <w:szCs w:val="24"/>
          <w:highlight w:val="none"/>
        </w:rPr>
        <w:t>月，本次评估基准日为</w:t>
      </w:r>
      <w:r>
        <w:rPr>
          <w:rFonts w:hint="eastAsia" w:ascii="Times New Roman" w:hAnsi="Times New Roman" w:cs="Times New Roman"/>
          <w:color w:val="auto"/>
          <w:sz w:val="24"/>
          <w:szCs w:val="24"/>
          <w:highlight w:val="none"/>
          <w:lang w:eastAsia="zh-CN"/>
        </w:rPr>
        <w:t>2022年9月30日</w:t>
      </w:r>
      <w:r>
        <w:rPr>
          <w:rFonts w:hint="default" w:ascii="Times New Roman" w:hAnsi="Times New Roman" w:cs="Times New Roman"/>
          <w:color w:val="auto"/>
          <w:sz w:val="24"/>
          <w:szCs w:val="24"/>
          <w:highlight w:val="none"/>
        </w:rPr>
        <w:t>，应当把交易案例修正到评估基准日的价格，根据地价指数确定修正系数。</w:t>
      </w:r>
    </w:p>
    <w:p>
      <w:pPr>
        <w:keepNext w:val="0"/>
        <w:keepLines w:val="0"/>
        <w:pageBreakBefore w:val="0"/>
        <w:shd w:val="clear" w:color="auto" w:fill="auto"/>
        <w:kinsoku/>
        <w:wordWrap/>
        <w:overflowPunct/>
        <w:topLinePunct w:val="0"/>
        <w:autoSpaceDE/>
        <w:autoSpaceDN/>
        <w:bidi w:val="0"/>
        <w:adjustRightInd/>
        <w:spacing w:after="0" w:line="480" w:lineRule="exact"/>
        <w:ind w:lef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交易案例A：K</w:t>
      </w:r>
      <w:r>
        <w:rPr>
          <w:rFonts w:hint="default" w:ascii="Times New Roman" w:hAnsi="Times New Roman" w:eastAsia="宋体" w:cs="Times New Roman"/>
          <w:color w:val="auto"/>
          <w:sz w:val="24"/>
          <w:szCs w:val="24"/>
          <w:highlight w:val="none"/>
          <w:vertAlign w:val="subscript"/>
        </w:rPr>
        <w:t>A</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1.0934</w:t>
      </w:r>
      <w:r>
        <w:rPr>
          <w:rFonts w:hint="default" w:ascii="Times New Roman" w:hAnsi="Times New Roman" w:eastAsia="宋体" w:cs="Times New Roman"/>
          <w:color w:val="auto"/>
          <w:sz w:val="24"/>
          <w:szCs w:val="24"/>
          <w:highlight w:val="none"/>
        </w:rPr>
        <w:t xml:space="preserve"> </w:t>
      </w:r>
    </w:p>
    <w:p>
      <w:pPr>
        <w:keepNext w:val="0"/>
        <w:keepLines w:val="0"/>
        <w:pageBreakBefore w:val="0"/>
        <w:shd w:val="clear" w:color="auto" w:fill="auto"/>
        <w:kinsoku/>
        <w:wordWrap/>
        <w:overflowPunct/>
        <w:topLinePunct w:val="0"/>
        <w:autoSpaceDE/>
        <w:autoSpaceDN/>
        <w:bidi w:val="0"/>
        <w:adjustRightInd/>
        <w:spacing w:after="0" w:line="480" w:lineRule="exact"/>
        <w:ind w:lef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交易案例B：K</w:t>
      </w:r>
      <w:r>
        <w:rPr>
          <w:rFonts w:hint="default" w:ascii="Times New Roman" w:hAnsi="Times New Roman" w:eastAsia="宋体" w:cs="Times New Roman"/>
          <w:color w:val="auto"/>
          <w:sz w:val="24"/>
          <w:szCs w:val="24"/>
          <w:highlight w:val="none"/>
          <w:vertAlign w:val="subscript"/>
        </w:rPr>
        <w:t>B</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1.0934</w:t>
      </w:r>
    </w:p>
    <w:p>
      <w:pPr>
        <w:keepNext w:val="0"/>
        <w:keepLines w:val="0"/>
        <w:pageBreakBefore w:val="0"/>
        <w:shd w:val="clear" w:color="auto" w:fill="auto"/>
        <w:kinsoku/>
        <w:wordWrap/>
        <w:overflowPunct/>
        <w:topLinePunct w:val="0"/>
        <w:autoSpaceDE/>
        <w:autoSpaceDN/>
        <w:bidi w:val="0"/>
        <w:adjustRightInd/>
        <w:spacing w:after="0" w:line="480" w:lineRule="exact"/>
        <w:ind w:lef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交易案例C：K</w:t>
      </w:r>
      <w:r>
        <w:rPr>
          <w:rFonts w:hint="default" w:ascii="Times New Roman" w:hAnsi="Times New Roman" w:eastAsia="宋体" w:cs="Times New Roman"/>
          <w:color w:val="auto"/>
          <w:sz w:val="24"/>
          <w:szCs w:val="24"/>
          <w:highlight w:val="none"/>
          <w:vertAlign w:val="subscript"/>
        </w:rPr>
        <w:t>C</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1.0934</w:t>
      </w:r>
    </w:p>
    <w:p>
      <w:pPr>
        <w:adjustRightInd w:val="0"/>
        <w:ind w:firstLine="480" w:firstLineChars="200"/>
        <w:jc w:val="center"/>
        <w:textAlignment w:val="baseline"/>
        <w:rPr>
          <w:rFonts w:hint="default" w:ascii="Times New Roman" w:hAnsi="Times New Roman" w:eastAsia="宋体" w:cs="Times New Roman"/>
          <w:color w:val="auto"/>
          <w:kern w:val="0"/>
          <w:sz w:val="24"/>
          <w:szCs w:val="24"/>
        </w:rPr>
      </w:pPr>
      <w:r>
        <w:rPr>
          <w:rFonts w:hint="default" w:ascii="Times New Roman" w:hAnsi="Times New Roman" w:cs="Times New Roman"/>
          <w:color w:val="auto"/>
          <w:kern w:val="0"/>
          <w:sz w:val="24"/>
          <w:szCs w:val="24"/>
          <w:lang w:val="en-US" w:eastAsia="zh-CN"/>
        </w:rPr>
        <w:t>烟台市</w:t>
      </w:r>
      <w:r>
        <w:rPr>
          <w:rFonts w:hint="default" w:ascii="Times New Roman" w:hAnsi="Times New Roman" w:eastAsia="宋体" w:cs="Times New Roman"/>
          <w:color w:val="auto"/>
          <w:kern w:val="0"/>
          <w:sz w:val="24"/>
          <w:szCs w:val="24"/>
        </w:rPr>
        <w:t>监测指标情况一览表</w:t>
      </w:r>
    </w:p>
    <w:tbl>
      <w:tblPr>
        <w:tblStyle w:val="36"/>
        <w:tblW w:w="4998"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Layout w:type="autofit"/>
        <w:tblCellMar>
          <w:top w:w="0" w:type="dxa"/>
          <w:left w:w="0" w:type="dxa"/>
          <w:bottom w:w="0" w:type="dxa"/>
          <w:right w:w="0" w:type="dxa"/>
        </w:tblCellMar>
      </w:tblPr>
      <w:tblGrid>
        <w:gridCol w:w="3061"/>
        <w:gridCol w:w="2986"/>
        <w:gridCol w:w="2937"/>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310" w:hRule="atLeast"/>
        </w:trPr>
        <w:tc>
          <w:tcPr>
            <w:tcW w:w="1703" w:type="pct"/>
            <w:tcBorders>
              <w:tl2br w:val="nil"/>
              <w:tr2bl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时间（季度）</w:t>
            </w:r>
          </w:p>
        </w:tc>
        <w:tc>
          <w:tcPr>
            <w:tcW w:w="1661" w:type="pct"/>
            <w:tcBorders>
              <w:tl2br w:val="nil"/>
              <w:tr2bl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水平值</w:t>
            </w:r>
          </w:p>
        </w:tc>
        <w:tc>
          <w:tcPr>
            <w:tcW w:w="1634" w:type="pct"/>
            <w:tcBorders>
              <w:tl2br w:val="nil"/>
              <w:tr2bl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环比增长率</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2019.1</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414</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0.24</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2019.2</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391</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-5.56</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2019.3</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478</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22.25</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2019.4</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478</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2020.1</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423</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-11.51</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2020.2</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425</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0.47</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2020.3</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425</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2020.4</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425</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0</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2021.1</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427</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0.47</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10"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2021.2</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437</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2.34</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25"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2021.3</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445</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1.83</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25"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2021.4</w:t>
            </w:r>
          </w:p>
        </w:tc>
        <w:tc>
          <w:tcPr>
            <w:tcW w:w="2986" w:type="dxa"/>
            <w:tcBorders>
              <w:tl2br w:val="nil"/>
              <w:tr2bl w:val="nil"/>
            </w:tcBorders>
            <w:shd w:val="clear" w:color="auto" w:fill="auto"/>
            <w:tcMar>
              <w:top w:w="10" w:type="dxa"/>
              <w:left w:w="10" w:type="dxa"/>
              <w:right w:w="10"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450</w:t>
            </w:r>
          </w:p>
        </w:tc>
        <w:tc>
          <w:tcPr>
            <w:tcW w:w="2937" w:type="dxa"/>
            <w:tcBorders>
              <w:tl2br w:val="nil"/>
              <w:tr2bl w:val="nil"/>
            </w:tcBorders>
            <w:shd w:val="clear" w:color="auto" w:fill="auto"/>
            <w:tcMar>
              <w:top w:w="10" w:type="dxa"/>
              <w:left w:w="10" w:type="dxa"/>
              <w:right w:w="10"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1.12</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25"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2022.1</w:t>
            </w:r>
          </w:p>
        </w:tc>
        <w:tc>
          <w:tcPr>
            <w:tcW w:w="2986" w:type="dxa"/>
            <w:tcBorders>
              <w:tl2br w:val="nil"/>
              <w:tr2bl w:val="nil"/>
            </w:tcBorders>
            <w:shd w:val="clear" w:color="auto" w:fill="auto"/>
            <w:tcMar>
              <w:top w:w="10" w:type="dxa"/>
              <w:left w:w="10" w:type="dxa"/>
              <w:right w:w="10"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481</w:t>
            </w:r>
          </w:p>
        </w:tc>
        <w:tc>
          <w:tcPr>
            <w:tcW w:w="2937" w:type="dxa"/>
            <w:tcBorders>
              <w:tl2br w:val="nil"/>
              <w:tr2bl w:val="nil"/>
            </w:tcBorders>
            <w:shd w:val="clear" w:color="auto" w:fill="auto"/>
            <w:tcMar>
              <w:top w:w="10" w:type="dxa"/>
              <w:left w:w="10" w:type="dxa"/>
              <w:right w:w="10"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6.89</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25"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w:t>
            </w:r>
            <w:r>
              <w:rPr>
                <w:rFonts w:hint="default" w:ascii="Times New Roman" w:hAnsi="Times New Roman" w:cs="Times New Roman"/>
                <w:b w:val="0"/>
                <w:bCs w:val="0"/>
                <w:color w:val="000000" w:themeColor="text1"/>
                <w:kern w:val="0"/>
                <w:sz w:val="18"/>
                <w:szCs w:val="18"/>
                <w:lang w:val="en-US" w:eastAsia="zh-CN"/>
                <w14:textFill>
                  <w14:solidFill>
                    <w14:schemeClr w14:val="tx1"/>
                  </w14:solidFill>
                </w14:textFill>
              </w:rPr>
              <w:t>22.2</w:t>
            </w:r>
          </w:p>
        </w:tc>
        <w:tc>
          <w:tcPr>
            <w:tcW w:w="2986" w:type="dxa"/>
            <w:tcBorders>
              <w:tl2br w:val="nil"/>
              <w:tr2bl w:val="nil"/>
            </w:tcBorders>
            <w:shd w:val="clear" w:color="auto" w:fill="auto"/>
            <w:tcMar>
              <w:top w:w="10" w:type="dxa"/>
              <w:left w:w="10" w:type="dxa"/>
              <w:right w:w="10"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492</w:t>
            </w:r>
          </w:p>
        </w:tc>
        <w:tc>
          <w:tcPr>
            <w:tcW w:w="2937" w:type="dxa"/>
            <w:tcBorders>
              <w:tl2br w:val="nil"/>
              <w:tr2bl w:val="nil"/>
            </w:tcBorders>
            <w:shd w:val="clear" w:color="auto" w:fill="auto"/>
            <w:tcMar>
              <w:top w:w="10" w:type="dxa"/>
              <w:left w:w="10" w:type="dxa"/>
              <w:right w:w="10" w:type="dxa"/>
            </w:tcMar>
            <w:vAlign w:val="bottom"/>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2.29</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0" w:type="dxa"/>
            <w:bottom w:w="0" w:type="dxa"/>
            <w:right w:w="0" w:type="dxa"/>
          </w:tblCellMar>
        </w:tblPrEx>
        <w:trPr>
          <w:trHeight w:val="325" w:hRule="atLeast"/>
        </w:trPr>
        <w:tc>
          <w:tcPr>
            <w:tcW w:w="306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20</w:t>
            </w:r>
            <w:r>
              <w:rPr>
                <w:rFonts w:hint="default" w:ascii="Times New Roman" w:hAnsi="Times New Roman" w:cs="Times New Roman"/>
                <w:b w:val="0"/>
                <w:bCs w:val="0"/>
                <w:color w:val="000000" w:themeColor="text1"/>
                <w:kern w:val="0"/>
                <w:sz w:val="18"/>
                <w:szCs w:val="18"/>
                <w:lang w:val="en-US" w:eastAsia="zh-CN"/>
                <w14:textFill>
                  <w14:solidFill>
                    <w14:schemeClr w14:val="tx1"/>
                  </w14:solidFill>
                </w14:textFill>
              </w:rPr>
              <w:t>22.</w:t>
            </w:r>
            <w:r>
              <w:rPr>
                <w:rFonts w:hint="eastAsia" w:ascii="Times New Roman" w:hAnsi="Times New Roman" w:cs="Times New Roman"/>
                <w:b w:val="0"/>
                <w:bCs w:val="0"/>
                <w:color w:val="000000" w:themeColor="text1"/>
                <w:kern w:val="0"/>
                <w:sz w:val="18"/>
                <w:szCs w:val="18"/>
                <w:lang w:val="en-US" w:eastAsia="zh-CN"/>
                <w14:textFill>
                  <w14:solidFill>
                    <w14:schemeClr w14:val="tx1"/>
                  </w14:solidFill>
                </w14:textFill>
              </w:rPr>
              <w:t>3</w:t>
            </w:r>
          </w:p>
        </w:tc>
        <w:tc>
          <w:tcPr>
            <w:tcW w:w="2986"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18"/>
                <w:szCs w:val="18"/>
                <w:lang w:val="en-US" w:eastAsia="zh-CN"/>
                <w14:textFill>
                  <w14:solidFill>
                    <w14:schemeClr w14:val="tx1"/>
                  </w14:solidFill>
                </w14:textFill>
              </w:rPr>
              <w:t>-</w:t>
            </w:r>
          </w:p>
        </w:tc>
        <w:tc>
          <w:tcPr>
            <w:tcW w:w="293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18"/>
                <w:szCs w:val="18"/>
                <w:lang w:val="en-US" w:eastAsia="zh-CN"/>
                <w14:textFill>
                  <w14:solidFill>
                    <w14:schemeClr w14:val="tx1"/>
                  </w14:solidFill>
                </w14:textFill>
              </w:rPr>
              <w:t>-</w:t>
            </w:r>
          </w:p>
        </w:tc>
      </w:tr>
    </w:tbl>
    <w:p>
      <w:pPr>
        <w:keepNext w:val="0"/>
        <w:keepLines w:val="0"/>
        <w:pageBreakBefore w:val="0"/>
        <w:widowControl/>
        <w:shd w:val="clear" w:color="auto" w:fill="auto"/>
        <w:kinsoku/>
        <w:wordWrap/>
        <w:overflowPunct/>
        <w:topLinePunct w:val="0"/>
        <w:autoSpaceDE/>
        <w:autoSpaceDN/>
        <w:bidi w:val="0"/>
        <w:adjustRightInd/>
        <w:spacing w:after="0" w:line="460" w:lineRule="exact"/>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②使用年期修正</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K=[1－1</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（1＋r）</w:t>
      </w:r>
      <w:r>
        <w:rPr>
          <w:rFonts w:hint="default" w:ascii="Times New Roman" w:hAnsi="Times New Roman" w:cs="Times New Roman"/>
          <w:color w:val="auto"/>
          <w:sz w:val="24"/>
          <w:szCs w:val="24"/>
          <w:highlight w:val="none"/>
          <w:vertAlign w:val="superscript"/>
        </w:rPr>
        <w:t>m</w:t>
      </w:r>
      <w:r>
        <w:rPr>
          <w:rFonts w:hint="default" w:ascii="Times New Roman" w:hAnsi="Times New Roman" w:cs="Times New Roman"/>
          <w:color w:val="auto"/>
          <w:sz w:val="24"/>
          <w:szCs w:val="24"/>
          <w:highlight w:val="none"/>
        </w:rPr>
        <w:t>]÷[1－1</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（1＋r）</w:t>
      </w:r>
      <w:r>
        <w:rPr>
          <w:rFonts w:hint="default" w:ascii="Times New Roman" w:hAnsi="Times New Roman" w:cs="Times New Roman"/>
          <w:color w:val="auto"/>
          <w:sz w:val="24"/>
          <w:szCs w:val="24"/>
          <w:highlight w:val="none"/>
          <w:vertAlign w:val="superscript"/>
        </w:rPr>
        <w:t>n</w:t>
      </w:r>
      <w:r>
        <w:rPr>
          <w:rFonts w:hint="default" w:ascii="Times New Roman" w:hAnsi="Times New Roman" w:cs="Times New Roman"/>
          <w:color w:val="auto"/>
          <w:sz w:val="24"/>
          <w:szCs w:val="24"/>
          <w:highlight w:val="none"/>
        </w:rPr>
        <w:t>]</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式中，K—将交易案例年期修正到待估宗地使用年期的年期修正系数；</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r—还原利率</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m—待估宗地的使用年期；</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n—比较案例的使用年期。</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交易案例A：K</w:t>
      </w:r>
      <w:r>
        <w:rPr>
          <w:rFonts w:hint="default" w:ascii="Times New Roman" w:hAnsi="Times New Roman" w:cs="Times New Roman"/>
          <w:color w:val="auto"/>
          <w:sz w:val="24"/>
          <w:szCs w:val="24"/>
          <w:highlight w:val="none"/>
          <w:vertAlign w:val="subscript"/>
        </w:rPr>
        <w:t>A</w:t>
      </w:r>
      <w:r>
        <w:rPr>
          <w:rFonts w:hint="default" w:ascii="Times New Roman" w:hAnsi="Times New Roman" w:cs="Times New Roman"/>
          <w:color w:val="auto"/>
          <w:sz w:val="24"/>
          <w:szCs w:val="24"/>
          <w:highlight w:val="none"/>
        </w:rPr>
        <w:t>=[1－1/（1＋r）</w:t>
      </w:r>
      <w:r>
        <w:rPr>
          <w:rFonts w:hint="eastAsia" w:ascii="Times New Roman" w:hAnsi="Times New Roman" w:cs="Times New Roman"/>
          <w:color w:val="auto"/>
          <w:sz w:val="24"/>
          <w:szCs w:val="24"/>
          <w:highlight w:val="none"/>
          <w:vertAlign w:val="superscript"/>
          <w:lang w:eastAsia="zh-CN"/>
        </w:rPr>
        <w:t>34.24</w:t>
      </w:r>
      <w:r>
        <w:rPr>
          <w:rFonts w:hint="default" w:ascii="Times New Roman" w:hAnsi="Times New Roman" w:cs="Times New Roman"/>
          <w:color w:val="auto"/>
          <w:sz w:val="24"/>
          <w:szCs w:val="24"/>
          <w:highlight w:val="none"/>
        </w:rPr>
        <w:t>]÷[1－1/（1＋r）</w:t>
      </w:r>
      <w:r>
        <w:rPr>
          <w:rFonts w:hint="default" w:ascii="Times New Roman" w:hAnsi="Times New Roman" w:cs="Times New Roman"/>
          <w:color w:val="auto"/>
          <w:sz w:val="24"/>
          <w:szCs w:val="24"/>
          <w:highlight w:val="none"/>
          <w:vertAlign w:val="superscript"/>
          <w:lang w:val="en-US" w:eastAsia="zh-CN"/>
        </w:rPr>
        <w:t>5</w:t>
      </w:r>
      <w:r>
        <w:rPr>
          <w:rFonts w:hint="default" w:ascii="Times New Roman" w:hAnsi="Times New Roman" w:cs="Times New Roman"/>
          <w:color w:val="auto"/>
          <w:sz w:val="24"/>
          <w:szCs w:val="24"/>
          <w:highlight w:val="none"/>
          <w:vertAlign w:val="superscript"/>
          <w:lang w:eastAsia="zh-CN"/>
        </w:rPr>
        <w:t>0</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0.8894</w:t>
      </w:r>
      <w:r>
        <w:rPr>
          <w:rFonts w:hint="default" w:ascii="Times New Roman" w:hAnsi="Times New Roman" w:cs="Times New Roman"/>
          <w:color w:val="auto"/>
          <w:sz w:val="24"/>
          <w:szCs w:val="24"/>
          <w:highlight w:val="none"/>
          <w:lang w:eastAsia="zh-CN"/>
        </w:rPr>
        <w:t xml:space="preserve"> </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交易案例B：K</w:t>
      </w:r>
      <w:r>
        <w:rPr>
          <w:rFonts w:hint="default" w:ascii="Times New Roman" w:hAnsi="Times New Roman" w:cs="Times New Roman"/>
          <w:color w:val="auto"/>
          <w:sz w:val="24"/>
          <w:szCs w:val="24"/>
          <w:highlight w:val="none"/>
          <w:vertAlign w:val="subscript"/>
        </w:rPr>
        <w:t>B</w:t>
      </w:r>
      <w:r>
        <w:rPr>
          <w:rFonts w:hint="default" w:ascii="Times New Roman" w:hAnsi="Times New Roman" w:cs="Times New Roman"/>
          <w:color w:val="auto"/>
          <w:sz w:val="24"/>
          <w:szCs w:val="24"/>
          <w:highlight w:val="none"/>
        </w:rPr>
        <w:t>=[1－1/（1＋r）</w:t>
      </w:r>
      <w:r>
        <w:rPr>
          <w:rFonts w:hint="eastAsia" w:ascii="Times New Roman" w:hAnsi="Times New Roman" w:cs="Times New Roman"/>
          <w:color w:val="auto"/>
          <w:sz w:val="24"/>
          <w:szCs w:val="24"/>
          <w:highlight w:val="none"/>
          <w:vertAlign w:val="superscript"/>
          <w:lang w:eastAsia="zh-CN"/>
        </w:rPr>
        <w:t>34.24</w:t>
      </w:r>
      <w:r>
        <w:rPr>
          <w:rFonts w:hint="default" w:ascii="Times New Roman" w:hAnsi="Times New Roman" w:cs="Times New Roman"/>
          <w:color w:val="auto"/>
          <w:sz w:val="24"/>
          <w:szCs w:val="24"/>
          <w:highlight w:val="none"/>
        </w:rPr>
        <w:t>]÷[1－1/（1＋r）</w:t>
      </w:r>
      <w:r>
        <w:rPr>
          <w:rFonts w:hint="default" w:ascii="Times New Roman" w:hAnsi="Times New Roman" w:cs="Times New Roman"/>
          <w:color w:val="auto"/>
          <w:sz w:val="24"/>
          <w:szCs w:val="24"/>
          <w:highlight w:val="none"/>
          <w:vertAlign w:val="superscript"/>
          <w:lang w:val="en-US" w:eastAsia="zh-CN"/>
        </w:rPr>
        <w:t>5</w:t>
      </w:r>
      <w:r>
        <w:rPr>
          <w:rFonts w:hint="default" w:ascii="Times New Roman" w:hAnsi="Times New Roman" w:cs="Times New Roman"/>
          <w:color w:val="auto"/>
          <w:sz w:val="24"/>
          <w:szCs w:val="24"/>
          <w:highlight w:val="none"/>
          <w:vertAlign w:val="superscript"/>
          <w:lang w:eastAsia="zh-CN"/>
        </w:rPr>
        <w:t>0</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0.8894</w:t>
      </w:r>
      <w:r>
        <w:rPr>
          <w:rFonts w:hint="default" w:ascii="Times New Roman" w:hAnsi="Times New Roman" w:cs="Times New Roman"/>
          <w:color w:val="auto"/>
          <w:sz w:val="24"/>
          <w:szCs w:val="24"/>
          <w:highlight w:val="none"/>
          <w:lang w:eastAsia="zh-CN"/>
        </w:rPr>
        <w:t xml:space="preserve"> </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交易案例C：K</w:t>
      </w:r>
      <w:r>
        <w:rPr>
          <w:rFonts w:hint="default" w:ascii="Times New Roman" w:hAnsi="Times New Roman" w:cs="Times New Roman"/>
          <w:color w:val="auto"/>
          <w:sz w:val="24"/>
          <w:szCs w:val="24"/>
          <w:highlight w:val="none"/>
          <w:vertAlign w:val="subscript"/>
        </w:rPr>
        <w:t>C</w:t>
      </w:r>
      <w:r>
        <w:rPr>
          <w:rFonts w:hint="default" w:ascii="Times New Roman" w:hAnsi="Times New Roman" w:cs="Times New Roman"/>
          <w:color w:val="auto"/>
          <w:sz w:val="24"/>
          <w:szCs w:val="24"/>
          <w:highlight w:val="none"/>
        </w:rPr>
        <w:t>=[1－1/（1＋r）</w:t>
      </w:r>
      <w:r>
        <w:rPr>
          <w:rFonts w:hint="eastAsia" w:ascii="Times New Roman" w:hAnsi="Times New Roman" w:cs="Times New Roman"/>
          <w:color w:val="auto"/>
          <w:sz w:val="24"/>
          <w:szCs w:val="24"/>
          <w:highlight w:val="none"/>
          <w:vertAlign w:val="superscript"/>
          <w:lang w:eastAsia="zh-CN"/>
        </w:rPr>
        <w:t>34.24</w:t>
      </w:r>
      <w:r>
        <w:rPr>
          <w:rFonts w:hint="default" w:ascii="Times New Roman" w:hAnsi="Times New Roman" w:cs="Times New Roman"/>
          <w:color w:val="auto"/>
          <w:sz w:val="24"/>
          <w:szCs w:val="24"/>
          <w:highlight w:val="none"/>
        </w:rPr>
        <w:t>]÷[1－1/（1＋r）</w:t>
      </w:r>
      <w:r>
        <w:rPr>
          <w:rFonts w:hint="default" w:ascii="Times New Roman" w:hAnsi="Times New Roman" w:cs="Times New Roman"/>
          <w:color w:val="auto"/>
          <w:sz w:val="24"/>
          <w:szCs w:val="24"/>
          <w:highlight w:val="none"/>
          <w:vertAlign w:val="superscript"/>
          <w:lang w:val="en-US" w:eastAsia="zh-CN"/>
        </w:rPr>
        <w:t>5</w:t>
      </w:r>
      <w:r>
        <w:rPr>
          <w:rFonts w:hint="default" w:ascii="Times New Roman" w:hAnsi="Times New Roman" w:cs="Times New Roman"/>
          <w:color w:val="auto"/>
          <w:sz w:val="24"/>
          <w:szCs w:val="24"/>
          <w:highlight w:val="none"/>
          <w:vertAlign w:val="superscript"/>
          <w:lang w:eastAsia="zh-CN"/>
        </w:rPr>
        <w:t>0</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0.8894</w:t>
      </w:r>
      <w:r>
        <w:rPr>
          <w:rFonts w:hint="default" w:ascii="Times New Roman" w:hAnsi="Times New Roman" w:cs="Times New Roman"/>
          <w:color w:val="auto"/>
          <w:sz w:val="24"/>
          <w:szCs w:val="24"/>
          <w:highlight w:val="none"/>
          <w:lang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③交易情况修正</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交易情况修正以待估宗地确定为正常交易，分值确定为100，其他宗地均为出让，也属于正常交易。</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④用途修正</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待估宗地为</w:t>
      </w:r>
      <w:r>
        <w:rPr>
          <w:rFonts w:hint="default" w:ascii="Times New Roman" w:hAnsi="Times New Roman" w:cs="Times New Roman"/>
          <w:color w:val="auto"/>
          <w:sz w:val="24"/>
          <w:szCs w:val="24"/>
          <w:highlight w:val="none"/>
          <w:lang w:eastAsia="zh-CN"/>
        </w:rPr>
        <w:t>工业用地</w:t>
      </w:r>
      <w:r>
        <w:rPr>
          <w:rFonts w:hint="default" w:ascii="Times New Roman" w:hAnsi="Times New Roman" w:cs="Times New Roman"/>
          <w:color w:val="auto"/>
          <w:sz w:val="24"/>
          <w:szCs w:val="24"/>
          <w:highlight w:val="none"/>
        </w:rPr>
        <w:t>，案例A</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B、C</w:t>
      </w:r>
      <w:r>
        <w:rPr>
          <w:rFonts w:hint="default" w:ascii="Times New Roman" w:hAnsi="Times New Roman" w:cs="Times New Roman"/>
          <w:color w:val="auto"/>
          <w:sz w:val="24"/>
          <w:szCs w:val="24"/>
          <w:highlight w:val="none"/>
          <w:lang w:eastAsia="zh-CN"/>
        </w:rPr>
        <w:t>均</w:t>
      </w:r>
      <w:r>
        <w:rPr>
          <w:rFonts w:hint="default" w:ascii="Times New Roman" w:hAnsi="Times New Roman" w:cs="Times New Roman"/>
          <w:color w:val="auto"/>
          <w:sz w:val="24"/>
          <w:szCs w:val="24"/>
          <w:highlight w:val="none"/>
        </w:rPr>
        <w:t>为</w:t>
      </w:r>
      <w:r>
        <w:rPr>
          <w:rFonts w:hint="default" w:ascii="Times New Roman" w:hAnsi="Times New Roman" w:cs="Times New Roman"/>
          <w:color w:val="auto"/>
          <w:sz w:val="24"/>
          <w:szCs w:val="24"/>
          <w:highlight w:val="none"/>
          <w:lang w:eastAsia="zh-CN"/>
        </w:rPr>
        <w:t>工业用地</w:t>
      </w:r>
      <w:r>
        <w:rPr>
          <w:rFonts w:hint="default" w:ascii="Times New Roman" w:hAnsi="Times New Roman" w:cs="Times New Roman"/>
          <w:color w:val="auto"/>
          <w:sz w:val="24"/>
          <w:szCs w:val="24"/>
          <w:highlight w:val="none"/>
        </w:rPr>
        <w:t>，因此</w:t>
      </w:r>
      <w:r>
        <w:rPr>
          <w:rFonts w:hint="default" w:ascii="Times New Roman" w:hAnsi="Times New Roman" w:cs="Times New Roman"/>
          <w:color w:val="auto"/>
          <w:sz w:val="24"/>
          <w:szCs w:val="24"/>
          <w:highlight w:val="none"/>
          <w:lang w:eastAsia="zh-CN"/>
        </w:rPr>
        <w:t>无</w:t>
      </w:r>
      <w:r>
        <w:rPr>
          <w:rFonts w:hint="default" w:ascii="Times New Roman" w:hAnsi="Times New Roman" w:cs="Times New Roman"/>
          <w:color w:val="auto"/>
          <w:sz w:val="24"/>
          <w:szCs w:val="24"/>
          <w:highlight w:val="none"/>
        </w:rPr>
        <w:t>需进行用途修正。</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5 \* GB3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⑤</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区域因素、个别因素修正</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市场法</w:t>
      </w:r>
      <w:r>
        <w:rPr>
          <w:rFonts w:hint="default" w:ascii="Times New Roman" w:hAnsi="Times New Roman" w:cs="Times New Roman"/>
          <w:color w:val="auto"/>
          <w:sz w:val="24"/>
          <w:szCs w:val="24"/>
          <w:highlight w:val="none"/>
        </w:rPr>
        <w:t>中的区域因素和部分个别因素修正，一般以待估宗地作为标准，取值100，比较交易案例与被评估宗地优劣程度，合理确定修正幅度。</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A．区域因素</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1 \* alphabetic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a</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．临路类型</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分为临交通型主干道、混合型主干道、生活型主干道、次干道、支路五个等级，以待估宗地的等级为100，每差一个等级向上或向下修正</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b．基础设施配套程度</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分为</w:t>
      </w:r>
      <w:r>
        <w:rPr>
          <w:rFonts w:hint="default" w:ascii="Times New Roman" w:hAnsi="Times New Roman" w:eastAsia="宋体" w:cs="Times New Roman"/>
          <w:color w:val="auto"/>
          <w:sz w:val="24"/>
          <w:szCs w:val="24"/>
          <w:highlight w:val="none"/>
          <w:lang w:eastAsia="zh-CN"/>
        </w:rPr>
        <w:t>五</w:t>
      </w:r>
      <w:r>
        <w:rPr>
          <w:rFonts w:hint="default" w:ascii="Times New Roman" w:hAnsi="Times New Roman" w:eastAsia="宋体" w:cs="Times New Roman"/>
          <w:color w:val="auto"/>
          <w:sz w:val="24"/>
          <w:szCs w:val="24"/>
          <w:highlight w:val="none"/>
        </w:rPr>
        <w:t>通一平，区域配套程度高、五通一平，区域配套程度较高、五通一平，区域配套程度一般、四通一平，区域配套程度较差、三通一平，区域配套程度差五个等级，以待估宗地的等级为100，每差一个等级地价向上或向下修正2%。</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c．区域产业集聚规模</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分为五个等级：工业园区或者开发区、独立大企业、独立中等企业、松散联系小企业、单独小企业，以待估宗地的等级为100，每差一个等级地价向上或向下修正</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d．交通便捷度</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为临近交通节点、距离主要交通节点较近、距离主要交通节点远，但方便通达、距离主要交通节点很远，但方便通达、到达交通节点不方便五个等级，以待估宗地的等级为100，每差一个等级地价向上或向下修正2%。</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e．生活便利度</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分为便捷、较便捷、一般、较不便捷、不便捷五个等级，以待估宗地的等级为100，每差一个等级地价向上或向下修正2%。</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B．个别因素</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1 \* alphabetic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．宗地坡度</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分为坡度小、较小、一般、较大、坡度大五个等级，以待估宗地为100，每差一个等级地价向上或向下修正1%。</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b．供排水状况</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分为通畅、较通畅、一般、较不通畅、不通畅五个等级，以待估宗地为100，每差一个等级地价向上或向下修正2%。</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3 \* alphabetic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．供电状况</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分为供电保证率高、较高、一般、较低、低五个等级，以待估宗地为100，每差一个等级地价向上或向下修正2%。</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d．宗地面积与形状</w:t>
      </w:r>
    </w:p>
    <w:p>
      <w:pPr>
        <w:keepNext w:val="0"/>
        <w:keepLines w:val="0"/>
        <w:pageBreakBefore w:val="0"/>
        <w:widowControl/>
        <w:shd w:val="clear" w:color="auto" w:fill="auto"/>
        <w:kinsoku/>
        <w:wordWrap/>
        <w:overflowPunct/>
        <w:topLinePunct w:val="0"/>
        <w:autoSpaceDE/>
        <w:autoSpaceDN/>
        <w:bidi w:val="0"/>
        <w:adjustRightInd/>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为长方形或正方形，便于土地利用、较规则多边形，对土地利用略有影响、基本规则，呈多边形，对土地利用有一定影响、形状不规则，对土地利用有较大影响、形状极不规则，对土地利用影响严重五个等级，以待估宗地为100，每差一个等级地价向上或向下修正2%。</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e．土地规划限制</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分为对土地利用类型和土地利用强度均有限制、对土地利用类型有一定限制、对土地利用类型无限制，对土地利用强度限制较大、对土地利用类型无限制，对利用强度有一定限制、对土地利用类型和土地利用强度均无限制五个等级，以待估宗地为100，每差一个等级地价向上或向下修正2%。</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比准价格=案例成交价格×用途修正系数×地价指数修正系数×交易情况修正系数×使用权类型修正系数×土地使用年期修正系数×区域因素修正系数×个别因素修正系数</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4、待估宗地评估价格的确定</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经过比较分析，取三个比准价格的算术平均值做为</w:t>
      </w:r>
      <w:r>
        <w:rPr>
          <w:rFonts w:hint="default" w:ascii="Times New Roman" w:hAnsi="Times New Roman" w:cs="Times New Roman"/>
          <w:color w:val="auto"/>
          <w:sz w:val="24"/>
          <w:szCs w:val="24"/>
          <w:highlight w:val="none"/>
          <w:lang w:eastAsia="zh-CN"/>
        </w:rPr>
        <w:t>市场法</w:t>
      </w:r>
      <w:r>
        <w:rPr>
          <w:rFonts w:hint="default" w:ascii="Times New Roman" w:hAnsi="Times New Roman" w:cs="Times New Roman"/>
          <w:color w:val="auto"/>
          <w:sz w:val="24"/>
          <w:szCs w:val="24"/>
          <w:highlight w:val="none"/>
        </w:rPr>
        <w:t>评估待估宗地的最终单价。</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市场法</w:t>
      </w:r>
      <w:r>
        <w:rPr>
          <w:rFonts w:hint="default" w:ascii="Times New Roman" w:hAnsi="Times New Roman" w:cs="Times New Roman"/>
          <w:color w:val="auto"/>
          <w:sz w:val="24"/>
          <w:szCs w:val="24"/>
          <w:highlight w:val="none"/>
        </w:rPr>
        <w:t>单价=（</w:t>
      </w:r>
      <w:r>
        <w:rPr>
          <w:rFonts w:hint="default" w:ascii="Times New Roman" w:hAnsi="Times New Roman" w:cs="Times New Roman"/>
          <w:color w:val="auto"/>
          <w:sz w:val="24"/>
          <w:szCs w:val="24"/>
          <w:highlight w:val="none"/>
          <w:lang w:val="en-US" w:eastAsia="zh-CN"/>
        </w:rPr>
        <w:t>21</w:t>
      </w: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val="en-US" w:eastAsia="zh-CN"/>
        </w:rPr>
        <w:t>.00+21</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.00+21</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.00</w:t>
      </w:r>
      <w:r>
        <w:rPr>
          <w:rFonts w:hint="default" w:ascii="Times New Roman" w:hAnsi="Times New Roman" w:cs="Times New Roman"/>
          <w:color w:val="auto"/>
          <w:sz w:val="24"/>
          <w:szCs w:val="24"/>
          <w:highlight w:val="none"/>
        </w:rPr>
        <w:t>）÷3</w:t>
      </w:r>
    </w:p>
    <w:p>
      <w:pPr>
        <w:keepNext w:val="0"/>
        <w:keepLines w:val="0"/>
        <w:pageBreakBefore w:val="0"/>
        <w:widowControl/>
        <w:shd w:val="clear" w:color="auto" w:fill="auto"/>
        <w:kinsoku/>
        <w:wordWrap/>
        <w:overflowPunct/>
        <w:topLinePunct w:val="0"/>
        <w:autoSpaceDE/>
        <w:autoSpaceDN/>
        <w:bidi w:val="0"/>
        <w:adjustRightInd/>
        <w:spacing w:after="0" w:line="460" w:lineRule="exact"/>
        <w:ind w:lef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21</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00</w:t>
      </w:r>
      <w:r>
        <w:rPr>
          <w:rFonts w:hint="default" w:ascii="Times New Roman" w:hAnsi="Times New Roman" w:cs="Times New Roman"/>
          <w:color w:val="auto"/>
          <w:sz w:val="24"/>
          <w:szCs w:val="24"/>
          <w:highlight w:val="none"/>
        </w:rPr>
        <w:t>（元/㎡） (保留整数)</w:t>
      </w:r>
    </w:p>
    <w:p>
      <w:pPr>
        <w:pStyle w:val="20"/>
        <w:keepNext w:val="0"/>
        <w:keepLines w:val="0"/>
        <w:pageBreakBefore w:val="0"/>
        <w:kinsoku/>
        <w:wordWrap/>
        <w:overflowPunct/>
        <w:topLinePunct w:val="0"/>
        <w:autoSpaceDE/>
        <w:autoSpaceDN/>
        <w:bidi w:val="0"/>
        <w:spacing w:after="0" w:line="480" w:lineRule="exact"/>
        <w:ind w:left="0" w:leftChars="0" w:firstLine="482" w:firstLineChars="200"/>
        <w:jc w:val="both"/>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B</w:t>
      </w:r>
      <w:r>
        <w:rPr>
          <w:rFonts w:hint="default" w:ascii="Times New Roman" w:hAnsi="Times New Roman" w:eastAsia="宋体" w:cs="Times New Roman"/>
          <w:b/>
          <w:sz w:val="24"/>
          <w:szCs w:val="24"/>
          <w:lang w:eastAsia="zh-CN"/>
        </w:rPr>
        <w:t>、</w:t>
      </w:r>
      <w:r>
        <w:rPr>
          <w:rFonts w:hint="default" w:ascii="Times New Roman" w:hAnsi="Times New Roman" w:eastAsia="宋体" w:cs="Times New Roman"/>
          <w:b/>
          <w:sz w:val="24"/>
          <w:szCs w:val="24"/>
        </w:rPr>
        <w:t>成本逼近法：</w:t>
      </w:r>
    </w:p>
    <w:p>
      <w:pPr>
        <w:pStyle w:val="8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1．基本原理</w:t>
      </w:r>
    </w:p>
    <w:p>
      <w:pPr>
        <w:pStyle w:val="8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成本逼近法是以开发土地所耗费的各项费用之和为主要依据，再加上一定的利润、利息、应缴纳的税金和土地增值收益来确定土地价格的估价方法。其基本计算公式为：</w:t>
      </w:r>
    </w:p>
    <w:p>
      <w:pPr>
        <w:pStyle w:val="8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土地价格＝土地取得费＋相关税费＋土地开发费＋投资利息＋合理利润＋土地增值收益</w:t>
      </w:r>
    </w:p>
    <w:p>
      <w:pPr>
        <w:pStyle w:val="8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2．估价过程</w:t>
      </w:r>
    </w:p>
    <w:p>
      <w:pPr>
        <w:pStyle w:val="8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通过对待估宗地所在区域周围土地利用状况调查，此次采用成本逼近法评估待估宗地时，以新颁布的《中华人民共和国土地管理法》、《山东省实施&lt;中华人民共和国土地管理法&gt;办法》及</w:t>
      </w:r>
      <w:r>
        <w:rPr>
          <w:rFonts w:hint="default" w:ascii="Times New Roman" w:hAnsi="Times New Roman" w:eastAsia="宋体" w:cs="Times New Roman"/>
          <w:sz w:val="24"/>
          <w:szCs w:val="24"/>
          <w:lang w:eastAsia="zh-CN"/>
        </w:rPr>
        <w:t>海阳市</w:t>
      </w:r>
      <w:r>
        <w:rPr>
          <w:rFonts w:hint="default" w:ascii="Times New Roman" w:hAnsi="Times New Roman" w:eastAsia="宋体" w:cs="Times New Roman"/>
          <w:sz w:val="24"/>
          <w:szCs w:val="24"/>
        </w:rPr>
        <w:t>有关文件为依据，按照成本逼近法测算地价的步骤测算待估宗地地价。</w:t>
      </w:r>
    </w:p>
    <w:p>
      <w:pPr>
        <w:pStyle w:val="8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具体测算过程如下：</w:t>
      </w:r>
    </w:p>
    <w:p>
      <w:pPr>
        <w:pStyle w:val="8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土地取得费</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地取得费是指征用待估宗地所在区域同类土地所支付的平均费用。调查待估宗地周边的土地利用情况，视待估宗地在征用前为耕地，则土地取得费包括土地补偿费、安置补助费、青苗补偿费和被征收土地农民社会保障费。</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①土地补偿费、安置补助费</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目前</w:t>
      </w:r>
      <w:r>
        <w:rPr>
          <w:rFonts w:hint="default" w:ascii="Times New Roman" w:hAnsi="Times New Roman" w:cs="Times New Roman"/>
          <w:sz w:val="24"/>
          <w:szCs w:val="24"/>
          <w:lang w:eastAsia="zh-CN"/>
        </w:rPr>
        <w:t>海阳市</w:t>
      </w:r>
      <w:r>
        <w:rPr>
          <w:rFonts w:hint="default" w:ascii="Times New Roman" w:hAnsi="Times New Roman" w:eastAsia="宋体" w:cs="Times New Roman"/>
          <w:sz w:val="24"/>
          <w:szCs w:val="24"/>
        </w:rPr>
        <w:t xml:space="preserve">实行的是征地区片综合地价，是指征收一般农用地土地补偿费与安置补助费之和。根据《山东省人民政府关于调整山东省征地区片综合地价标准的批复》, </w:t>
      </w:r>
      <w:r>
        <w:rPr>
          <w:rFonts w:hint="default" w:ascii="Times New Roman" w:hAnsi="Times New Roman" w:cs="Times New Roman"/>
          <w:sz w:val="24"/>
          <w:szCs w:val="24"/>
          <w:lang w:val="en-US" w:eastAsia="zh-CN"/>
        </w:rPr>
        <w:t>海阳</w:t>
      </w:r>
      <w:r>
        <w:rPr>
          <w:rFonts w:hint="default" w:ascii="Times New Roman" w:hAnsi="Times New Roman" w:eastAsia="宋体" w:cs="Times New Roman"/>
          <w:sz w:val="24"/>
          <w:szCs w:val="24"/>
          <w:lang w:eastAsia="zh-CN"/>
        </w:rPr>
        <w:t>城区</w:t>
      </w:r>
      <w:r>
        <w:rPr>
          <w:rFonts w:hint="default" w:ascii="Times New Roman" w:hAnsi="Times New Roman" w:eastAsia="宋体" w:cs="Times New Roman"/>
          <w:sz w:val="24"/>
          <w:szCs w:val="24"/>
        </w:rPr>
        <w:t>征地补偿分为</w:t>
      </w:r>
      <w:r>
        <w:rPr>
          <w:rFonts w:hint="default" w:ascii="Times New Roman" w:hAnsi="Times New Roman" w:cs="Times New Roman"/>
          <w:sz w:val="24"/>
          <w:szCs w:val="24"/>
          <w:lang w:eastAsia="zh-CN"/>
        </w:rPr>
        <w:t>二</w:t>
      </w:r>
      <w:r>
        <w:rPr>
          <w:rFonts w:hint="default" w:ascii="Times New Roman" w:hAnsi="Times New Roman" w:eastAsia="宋体" w:cs="Times New Roman"/>
          <w:sz w:val="24"/>
          <w:szCs w:val="24"/>
        </w:rPr>
        <w:t>个片区，待估宗地位于Ⅱ级，区片价为</w:t>
      </w:r>
      <w:r>
        <w:rPr>
          <w:rFonts w:hint="default" w:ascii="Times New Roman" w:hAnsi="Times New Roman" w:cs="Times New Roman"/>
          <w:sz w:val="24"/>
          <w:szCs w:val="24"/>
          <w:lang w:val="en-US" w:eastAsia="zh-CN"/>
        </w:rPr>
        <w:t>65000</w:t>
      </w:r>
      <w:r>
        <w:rPr>
          <w:rFonts w:hint="default" w:ascii="Times New Roman" w:hAnsi="Times New Roman" w:eastAsia="宋体" w:cs="Times New Roman"/>
          <w:sz w:val="24"/>
          <w:szCs w:val="24"/>
        </w:rPr>
        <w:t>元每亩,即</w:t>
      </w:r>
      <w:r>
        <w:rPr>
          <w:rFonts w:hint="default" w:ascii="Times New Roman" w:hAnsi="Times New Roman" w:cs="Times New Roman"/>
          <w:sz w:val="24"/>
          <w:szCs w:val="24"/>
          <w:lang w:eastAsia="zh-CN"/>
        </w:rPr>
        <w:t>9</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lang w:eastAsia="zh-CN"/>
        </w:rPr>
        <w:t>.00</w:t>
      </w:r>
      <w:r>
        <w:rPr>
          <w:rFonts w:hint="default" w:ascii="Times New Roman" w:hAnsi="Times New Roman" w:eastAsia="宋体" w:cs="Times New Roman"/>
          <w:sz w:val="24"/>
          <w:szCs w:val="24"/>
        </w:rPr>
        <w:t>元/ 平方米。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②青苗补偿费</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根据《关于</w:t>
      </w:r>
      <w:r>
        <w:rPr>
          <w:rFonts w:hint="default" w:ascii="Times New Roman" w:hAnsi="Times New Roman" w:cs="Times New Roman"/>
          <w:sz w:val="24"/>
          <w:szCs w:val="24"/>
          <w:lang w:eastAsia="zh-CN"/>
        </w:rPr>
        <w:t>烟台市</w:t>
      </w:r>
      <w:r>
        <w:rPr>
          <w:rFonts w:hint="default" w:ascii="Times New Roman" w:hAnsi="Times New Roman" w:eastAsia="宋体" w:cs="Times New Roman"/>
          <w:sz w:val="24"/>
          <w:szCs w:val="24"/>
        </w:rPr>
        <w:t>调整征地地面附着物和青苗补偿标准的批复》文件规定，青苗补偿费按耕地年产值50%计算，</w:t>
      </w:r>
      <w:r>
        <w:rPr>
          <w:rFonts w:hint="default" w:ascii="Times New Roman" w:hAnsi="Times New Roman" w:cs="Times New Roman"/>
          <w:sz w:val="24"/>
          <w:szCs w:val="24"/>
          <w:lang w:eastAsia="zh-CN"/>
        </w:rPr>
        <w:t>海阳市</w:t>
      </w:r>
      <w:r>
        <w:rPr>
          <w:rFonts w:hint="default" w:ascii="Times New Roman" w:hAnsi="Times New Roman" w:eastAsia="宋体" w:cs="Times New Roman"/>
          <w:sz w:val="24"/>
          <w:szCs w:val="24"/>
        </w:rPr>
        <w:t>年产值为</w:t>
      </w:r>
      <w:r>
        <w:rPr>
          <w:rFonts w:hint="default" w:ascii="Times New Roman" w:hAnsi="Times New Roman" w:eastAsia="宋体" w:cs="Times New Roman"/>
          <w:sz w:val="24"/>
          <w:szCs w:val="24"/>
          <w:lang w:val="en-US" w:eastAsia="zh-CN"/>
        </w:rPr>
        <w:t>1200</w:t>
      </w:r>
      <w:r>
        <w:rPr>
          <w:rFonts w:hint="default" w:ascii="Times New Roman" w:hAnsi="Times New Roman" w:eastAsia="宋体" w:cs="Times New Roman"/>
          <w:sz w:val="24"/>
          <w:szCs w:val="24"/>
        </w:rPr>
        <w:t>元/亩，则青苗补偿费为</w:t>
      </w:r>
      <w:r>
        <w:rPr>
          <w:rFonts w:hint="default" w:ascii="Times New Roman" w:hAnsi="Times New Roman" w:eastAsia="宋体" w:cs="Times New Roman"/>
          <w:sz w:val="24"/>
          <w:szCs w:val="24"/>
          <w:lang w:val="en-US" w:eastAsia="zh-CN"/>
        </w:rPr>
        <w:t>600</w:t>
      </w:r>
      <w:r>
        <w:rPr>
          <w:rFonts w:hint="default" w:ascii="Times New Roman" w:hAnsi="Times New Roman" w:eastAsia="宋体" w:cs="Times New Roman"/>
          <w:sz w:val="24"/>
          <w:szCs w:val="24"/>
        </w:rPr>
        <w:t>元/亩，即：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青苗补偿费=</w:t>
      </w:r>
      <w:r>
        <w:rPr>
          <w:rFonts w:hint="default" w:ascii="Times New Roman" w:hAnsi="Times New Roman" w:eastAsia="宋体" w:cs="Times New Roman"/>
          <w:sz w:val="24"/>
          <w:szCs w:val="24"/>
          <w:lang w:val="en-US" w:eastAsia="zh-CN"/>
        </w:rPr>
        <w:t>600</w:t>
      </w:r>
      <w:r>
        <w:rPr>
          <w:rFonts w:hint="default" w:ascii="Times New Roman" w:hAnsi="Times New Roman" w:eastAsia="宋体" w:cs="Times New Roman"/>
          <w:sz w:val="24"/>
          <w:szCs w:val="24"/>
        </w:rPr>
        <w:t>元/666.67平方米=</w:t>
      </w:r>
      <w:r>
        <w:rPr>
          <w:rFonts w:hint="default" w:ascii="Times New Roman" w:hAnsi="Times New Roman" w:eastAsia="宋体" w:cs="Times New Roman"/>
          <w:sz w:val="24"/>
          <w:szCs w:val="24"/>
          <w:lang w:eastAsia="zh-CN"/>
        </w:rPr>
        <w:t>0.9</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综上分析测算，土地取得费=</w:t>
      </w:r>
      <w:r>
        <w:rPr>
          <w:rFonts w:hint="default" w:ascii="Times New Roman" w:hAnsi="Times New Roman" w:cs="Times New Roman"/>
          <w:sz w:val="24"/>
          <w:szCs w:val="24"/>
          <w:lang w:eastAsia="zh-CN"/>
        </w:rPr>
        <w:t>9</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lang w:eastAsia="zh-CN"/>
        </w:rPr>
        <w:t>.00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0.9</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9</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lang w:eastAsia="zh-CN"/>
        </w:rPr>
        <w:t>.90</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（2）有关税费</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①耕地开垦费</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根据《山东省实施&lt;中华人民共和国土地管理法&gt;办法》第十六条规定，耕地开垦费按下列标准缴纳：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(一)经批准占用基本农田的，按被占用地前三年平均年产值的十至十二倍缴纳；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(二)经批准占用基本农田以外的耕地的，按被占用耕地前三年平均年产值的八至十倍缴纳。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耕地开垦费不得减免，建设单位应当将其作为建设用地成本列入建设项目总投资。</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本次估价按待估宗地是占用基本农田以外的耕地，结合待估宗地所在区域实际情况，耕地开垦费按被占用耕地前三年平均年产值的十倍计算，根据《关于调整</w:t>
      </w:r>
      <w:r>
        <w:rPr>
          <w:rFonts w:hint="default" w:ascii="Times New Roman" w:hAnsi="Times New Roman" w:cs="Times New Roman"/>
          <w:sz w:val="24"/>
          <w:szCs w:val="24"/>
          <w:lang w:eastAsia="zh-CN"/>
        </w:rPr>
        <w:t>烟台市</w:t>
      </w:r>
      <w:r>
        <w:rPr>
          <w:rFonts w:hint="default" w:ascii="Times New Roman" w:hAnsi="Times New Roman" w:eastAsia="宋体" w:cs="Times New Roman"/>
          <w:sz w:val="24"/>
          <w:szCs w:val="24"/>
        </w:rPr>
        <w:t>征地年产值标准的通知》文件规定，结合</w:t>
      </w:r>
      <w:r>
        <w:rPr>
          <w:rFonts w:hint="default" w:ascii="Times New Roman" w:hAnsi="Times New Roman" w:cs="Times New Roman"/>
          <w:sz w:val="24"/>
          <w:szCs w:val="24"/>
          <w:lang w:eastAsia="zh-CN"/>
        </w:rPr>
        <w:t>海阳市</w:t>
      </w:r>
      <w:r>
        <w:rPr>
          <w:rFonts w:hint="default" w:ascii="Times New Roman" w:hAnsi="Times New Roman" w:eastAsia="宋体" w:cs="Times New Roman"/>
          <w:sz w:val="24"/>
          <w:szCs w:val="24"/>
        </w:rPr>
        <w:t>实际情况取前三年平均年产值为</w:t>
      </w:r>
      <w:r>
        <w:rPr>
          <w:rFonts w:hint="default" w:ascii="Times New Roman" w:hAnsi="Times New Roman" w:eastAsia="宋体" w:cs="Times New Roman"/>
          <w:sz w:val="24"/>
          <w:szCs w:val="24"/>
          <w:lang w:val="en-US" w:eastAsia="zh-CN"/>
        </w:rPr>
        <w:t>1200</w:t>
      </w:r>
      <w:r>
        <w:rPr>
          <w:rFonts w:hint="default" w:ascii="Times New Roman" w:hAnsi="Times New Roman" w:eastAsia="宋体" w:cs="Times New Roman"/>
          <w:sz w:val="24"/>
          <w:szCs w:val="24"/>
        </w:rPr>
        <w:t>元/亩，则耕地开垦费为:</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1200÷</w:t>
      </w:r>
      <w:r>
        <w:rPr>
          <w:rFonts w:hint="default" w:ascii="Times New Roman" w:hAnsi="Times New Roman" w:eastAsia="宋体" w:cs="Times New Roman"/>
          <w:sz w:val="24"/>
          <w:szCs w:val="24"/>
        </w:rPr>
        <w:t>666.67×10=</w:t>
      </w:r>
      <w:r>
        <w:rPr>
          <w:rFonts w:hint="default" w:ascii="Times New Roman" w:hAnsi="Times New Roman" w:eastAsia="宋体" w:cs="Times New Roman"/>
          <w:sz w:val="24"/>
          <w:szCs w:val="24"/>
          <w:lang w:eastAsia="zh-CN"/>
        </w:rPr>
        <w:t>18.00</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②土地管理费</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财政部《关于取消、停征和免征一批行政事业性收费的通知》（财税[2014]101号，2014年12月23日颁布，2015年1月1日起执行），以及山东省国土资源厅《关于做好取消停征和免征部分国土资源行政事业性收费有关工作的紧急通知》（鲁国土资字[2015]24号，2015年1月14日发布）的相关规定，在国土资源行政事业性收费中，取消征地管理费。因此，土地管理费为0。</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③耕地占用税</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根据《山东省人民政府关于贯彻执行&lt;中华人民共和国耕地占用税暂行条例&gt;有关问题的通知》（鲁政字〔2008〕137号）, 山东省</w:t>
      </w:r>
      <w:r>
        <w:rPr>
          <w:rFonts w:hint="default" w:ascii="Times New Roman" w:hAnsi="Times New Roman" w:cs="Times New Roman"/>
          <w:sz w:val="24"/>
          <w:szCs w:val="24"/>
          <w:lang w:eastAsia="zh-CN"/>
        </w:rPr>
        <w:t>海阳市</w:t>
      </w:r>
      <w:r>
        <w:rPr>
          <w:rFonts w:hint="default" w:ascii="Times New Roman" w:hAnsi="Times New Roman" w:eastAsia="宋体" w:cs="Times New Roman"/>
          <w:sz w:val="24"/>
          <w:szCs w:val="24"/>
        </w:rPr>
        <w:t>的耕地占用税标准为</w:t>
      </w:r>
      <w:r>
        <w:rPr>
          <w:rFonts w:hint="default" w:ascii="Times New Roman" w:hAnsi="Times New Roman" w:cs="Times New Roman"/>
          <w:sz w:val="24"/>
          <w:szCs w:val="24"/>
          <w:lang w:val="en-US" w:eastAsia="zh-CN"/>
        </w:rPr>
        <w:t>24.50</w:t>
      </w:r>
      <w:r>
        <w:rPr>
          <w:rFonts w:hint="default" w:ascii="Times New Roman" w:hAnsi="Times New Roman" w:eastAsia="宋体" w:cs="Times New Roman"/>
          <w:sz w:val="24"/>
          <w:szCs w:val="24"/>
        </w:rPr>
        <w:t>元/平方米，故在此耕地占用税为2</w:t>
      </w:r>
      <w:r>
        <w:rPr>
          <w:rFonts w:hint="default" w:ascii="Times New Roman" w:hAnsi="Times New Roman" w:cs="Times New Roman"/>
          <w:sz w:val="24"/>
          <w:szCs w:val="24"/>
          <w:lang w:val="en-US" w:eastAsia="zh-CN"/>
        </w:rPr>
        <w:t>4</w:t>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综上分析测算，应纳税费=</w:t>
      </w:r>
      <w:r>
        <w:rPr>
          <w:rFonts w:hint="default" w:ascii="Times New Roman" w:hAnsi="Times New Roman" w:eastAsia="宋体" w:cs="Times New Roman"/>
          <w:sz w:val="24"/>
          <w:szCs w:val="24"/>
          <w:lang w:eastAsia="zh-CN"/>
        </w:rPr>
        <w:t>18.00</w:t>
      </w:r>
      <w:r>
        <w:rPr>
          <w:rFonts w:hint="default" w:ascii="Times New Roman" w:hAnsi="Times New Roman" w:eastAsia="宋体" w:cs="Times New Roman"/>
          <w:sz w:val="24"/>
          <w:szCs w:val="24"/>
        </w:rPr>
        <w:t>+0+2</w:t>
      </w:r>
      <w:r>
        <w:rPr>
          <w:rFonts w:hint="default" w:ascii="Times New Roman" w:hAnsi="Times New Roman" w:cs="Times New Roman"/>
          <w:sz w:val="24"/>
          <w:szCs w:val="24"/>
          <w:lang w:val="en-US" w:eastAsia="zh-CN"/>
        </w:rPr>
        <w:t>4</w:t>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42.50</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⑶ 土地开发费</w:t>
      </w:r>
    </w:p>
    <w:p>
      <w:pPr>
        <w:pStyle w:val="20"/>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依据“</w:t>
      </w:r>
      <w:r>
        <w:rPr>
          <w:rFonts w:hint="default" w:ascii="Times New Roman" w:hAnsi="Times New Roman" w:cs="Times New Roman"/>
          <w:sz w:val="24"/>
          <w:szCs w:val="24"/>
          <w:lang w:eastAsia="zh-CN"/>
        </w:rPr>
        <w:t>海阳市</w:t>
      </w:r>
      <w:r>
        <w:rPr>
          <w:rFonts w:hint="default" w:ascii="Times New Roman" w:hAnsi="Times New Roman" w:eastAsia="宋体" w:cs="Times New Roman"/>
          <w:sz w:val="24"/>
          <w:szCs w:val="24"/>
        </w:rPr>
        <w:t>人民政府关于贯彻落实省政府《关于适应经济社会发展加快城市现代化建设的决定》的通知”规定和</w:t>
      </w:r>
      <w:r>
        <w:rPr>
          <w:rFonts w:hint="default" w:ascii="Times New Roman" w:hAnsi="Times New Roman" w:cs="Times New Roman"/>
          <w:sz w:val="24"/>
          <w:szCs w:val="24"/>
          <w:lang w:eastAsia="zh-CN"/>
        </w:rPr>
        <w:t>海阳市</w:t>
      </w:r>
      <w:r>
        <w:rPr>
          <w:rFonts w:hint="default" w:ascii="Times New Roman" w:hAnsi="Times New Roman" w:eastAsia="宋体" w:cs="Times New Roman"/>
          <w:sz w:val="24"/>
          <w:szCs w:val="24"/>
        </w:rPr>
        <w:t>城市规划区内城市基础设施情况，经调查测算城市基础设施达到的有关费用，并结合考虑待估宗地基础设施功能，确定待估宗地外“</w:t>
      </w:r>
      <w:r>
        <w:rPr>
          <w:rFonts w:hint="eastAsia" w:ascii="Times New Roman" w:hAnsi="Times New Roman" w:cs="Times New Roman"/>
          <w:sz w:val="24"/>
          <w:szCs w:val="24"/>
          <w:lang w:eastAsia="zh-CN"/>
        </w:rPr>
        <w:t>五通</w:t>
      </w:r>
      <w:r>
        <w:rPr>
          <w:rFonts w:hint="default" w:ascii="Times New Roman" w:hAnsi="Times New Roman" w:eastAsia="宋体" w:cs="Times New Roman"/>
          <w:sz w:val="24"/>
          <w:szCs w:val="24"/>
        </w:rPr>
        <w:t>”，宗地内场地平整状况下的开发费为</w:t>
      </w:r>
      <w:r>
        <w:rPr>
          <w:rFonts w:hint="eastAsia" w:ascii="Times New Roman" w:hAnsi="Times New Roman" w:cs="Times New Roman"/>
          <w:sz w:val="24"/>
          <w:szCs w:val="24"/>
          <w:lang w:val="en-US" w:eastAsia="zh-CN"/>
        </w:rPr>
        <w:t>75.00</w:t>
      </w:r>
      <w:r>
        <w:rPr>
          <w:rFonts w:hint="default" w:ascii="Times New Roman" w:hAnsi="Times New Roman" w:eastAsia="宋体" w:cs="Times New Roman"/>
          <w:sz w:val="24"/>
          <w:szCs w:val="24"/>
        </w:rPr>
        <w:t>元/平方米。</w:t>
      </w:r>
    </w:p>
    <w:tbl>
      <w:tblPr>
        <w:tblStyle w:val="36"/>
        <w:tblW w:w="5000" w:type="pct"/>
        <w:tblInd w:w="0" w:type="dxa"/>
        <w:tblLayout w:type="autofit"/>
        <w:tblCellMar>
          <w:top w:w="0" w:type="dxa"/>
          <w:left w:w="108" w:type="dxa"/>
          <w:bottom w:w="0" w:type="dxa"/>
          <w:right w:w="108" w:type="dxa"/>
        </w:tblCellMar>
      </w:tblPr>
      <w:tblGrid>
        <w:gridCol w:w="1605"/>
        <w:gridCol w:w="1213"/>
        <w:gridCol w:w="855"/>
        <w:gridCol w:w="855"/>
        <w:gridCol w:w="1018"/>
        <w:gridCol w:w="855"/>
        <w:gridCol w:w="1106"/>
        <w:gridCol w:w="802"/>
        <w:gridCol w:w="865"/>
      </w:tblGrid>
      <w:tr>
        <w:tblPrEx>
          <w:tblCellMar>
            <w:top w:w="0" w:type="dxa"/>
            <w:left w:w="108" w:type="dxa"/>
            <w:bottom w:w="0" w:type="dxa"/>
            <w:right w:w="108" w:type="dxa"/>
          </w:tblCellMar>
        </w:tblPrEx>
        <w:trPr>
          <w:trHeight w:val="90" w:hRule="atLeast"/>
        </w:trPr>
        <w:tc>
          <w:tcPr>
            <w:tcW w:w="5000" w:type="pct"/>
            <w:gridSpan w:val="9"/>
            <w:tcBorders>
              <w:top w:val="double" w:color="auto" w:sz="4" w:space="0"/>
              <w:left w:val="double" w:color="auto" w:sz="4" w:space="0"/>
              <w:bottom w:val="dotted" w:color="auto" w:sz="4" w:space="0"/>
              <w:right w:val="doub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 xml:space="preserve"> 土地开发费用分项调查表    单位：元/ m</w:t>
            </w:r>
            <w:r>
              <w:rPr>
                <w:rFonts w:hint="default" w:ascii="Times New Roman" w:hAnsi="Times New Roman" w:eastAsia="宋体" w:cs="Times New Roman"/>
                <w:b/>
                <w:bCs/>
                <w:color w:val="000000" w:themeColor="text1"/>
                <w:kern w:val="0"/>
                <w:sz w:val="18"/>
                <w:szCs w:val="18"/>
                <w:vertAlign w:val="superscript"/>
                <w:lang w:val="en-US" w:eastAsia="zh-CN"/>
                <w14:textFill>
                  <w14:solidFill>
                    <w14:schemeClr w14:val="tx1"/>
                  </w14:solidFill>
                </w14:textFill>
              </w:rPr>
              <w:t>2</w:t>
            </w:r>
          </w:p>
        </w:tc>
      </w:tr>
      <w:tr>
        <w:tblPrEx>
          <w:tblCellMar>
            <w:top w:w="0" w:type="dxa"/>
            <w:left w:w="108" w:type="dxa"/>
            <w:bottom w:w="0" w:type="dxa"/>
            <w:right w:w="108" w:type="dxa"/>
          </w:tblCellMar>
        </w:tblPrEx>
        <w:trPr>
          <w:trHeight w:val="363" w:hRule="exact"/>
        </w:trPr>
        <w:tc>
          <w:tcPr>
            <w:tcW w:w="875" w:type="pct"/>
            <w:tcBorders>
              <w:top w:val="dotted" w:color="auto" w:sz="4" w:space="0"/>
              <w:left w:val="double" w:color="auto" w:sz="4" w:space="0"/>
              <w:bottom w:val="dotted"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开发程度</w:t>
            </w:r>
          </w:p>
        </w:tc>
        <w:tc>
          <w:tcPr>
            <w:tcW w:w="661" w:type="pct"/>
            <w:tcBorders>
              <w:top w:val="dotted" w:color="auto" w:sz="4" w:space="0"/>
              <w:left w:val="dotted" w:color="auto" w:sz="4" w:space="0"/>
              <w:bottom w:val="dotted"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平整土地</w:t>
            </w:r>
          </w:p>
        </w:tc>
        <w:tc>
          <w:tcPr>
            <w:tcW w:w="466" w:type="pct"/>
            <w:tcBorders>
              <w:top w:val="dotted" w:color="auto" w:sz="4" w:space="0"/>
              <w:left w:val="dotted" w:color="auto" w:sz="4" w:space="0"/>
              <w:bottom w:val="dotted"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道路</w:t>
            </w:r>
          </w:p>
        </w:tc>
        <w:tc>
          <w:tcPr>
            <w:tcW w:w="466" w:type="pct"/>
            <w:tcBorders>
              <w:top w:val="dotted" w:color="auto" w:sz="4" w:space="0"/>
              <w:left w:val="dotted" w:color="auto" w:sz="4" w:space="0"/>
              <w:bottom w:val="dotted"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通电</w:t>
            </w:r>
          </w:p>
        </w:tc>
        <w:tc>
          <w:tcPr>
            <w:tcW w:w="555" w:type="pct"/>
            <w:tcBorders>
              <w:top w:val="dotted" w:color="auto" w:sz="4" w:space="0"/>
              <w:left w:val="dotted" w:color="auto" w:sz="4" w:space="0"/>
              <w:bottom w:val="dotted"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通上水</w:t>
            </w:r>
          </w:p>
        </w:tc>
        <w:tc>
          <w:tcPr>
            <w:tcW w:w="466" w:type="pct"/>
            <w:tcBorders>
              <w:top w:val="dotted" w:color="auto" w:sz="4" w:space="0"/>
              <w:left w:val="dotted" w:color="auto" w:sz="4" w:space="0"/>
              <w:bottom w:val="dotted"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通讯</w:t>
            </w:r>
          </w:p>
        </w:tc>
        <w:tc>
          <w:tcPr>
            <w:tcW w:w="603" w:type="pct"/>
            <w:tcBorders>
              <w:top w:val="dotted" w:color="auto" w:sz="4" w:space="0"/>
              <w:left w:val="dotted" w:color="auto" w:sz="4" w:space="0"/>
              <w:bottom w:val="dotted"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通下水</w:t>
            </w:r>
          </w:p>
        </w:tc>
        <w:tc>
          <w:tcPr>
            <w:tcW w:w="437" w:type="pct"/>
            <w:tcBorders>
              <w:top w:val="dotted" w:color="auto" w:sz="4" w:space="0"/>
              <w:left w:val="dotted" w:color="auto" w:sz="4" w:space="0"/>
              <w:bottom w:val="dotted"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通气</w:t>
            </w:r>
          </w:p>
        </w:tc>
        <w:tc>
          <w:tcPr>
            <w:tcW w:w="466" w:type="pct"/>
            <w:tcBorders>
              <w:top w:val="dotted" w:color="auto" w:sz="4" w:space="0"/>
              <w:left w:val="dotted" w:color="auto" w:sz="4" w:space="0"/>
              <w:bottom w:val="dotted" w:color="auto" w:sz="4" w:space="0"/>
              <w:right w:val="doub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供暖</w:t>
            </w:r>
          </w:p>
        </w:tc>
      </w:tr>
      <w:tr>
        <w:tblPrEx>
          <w:tblCellMar>
            <w:top w:w="0" w:type="dxa"/>
            <w:left w:w="108" w:type="dxa"/>
            <w:bottom w:w="0" w:type="dxa"/>
            <w:right w:w="108" w:type="dxa"/>
          </w:tblCellMar>
        </w:tblPrEx>
        <w:trPr>
          <w:trHeight w:val="363" w:hRule="exact"/>
        </w:trPr>
        <w:tc>
          <w:tcPr>
            <w:tcW w:w="875" w:type="pct"/>
            <w:tcBorders>
              <w:top w:val="dotted" w:color="auto" w:sz="4" w:space="0"/>
              <w:left w:val="double" w:color="auto" w:sz="4" w:space="0"/>
              <w:bottom w:val="double"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单位面积投入</w:t>
            </w:r>
          </w:p>
        </w:tc>
        <w:tc>
          <w:tcPr>
            <w:tcW w:w="661" w:type="pct"/>
            <w:tcBorders>
              <w:top w:val="dotted" w:color="auto" w:sz="4" w:space="0"/>
              <w:left w:val="dotted" w:color="auto" w:sz="4" w:space="0"/>
              <w:bottom w:val="double"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10</w:t>
            </w:r>
          </w:p>
        </w:tc>
        <w:tc>
          <w:tcPr>
            <w:tcW w:w="466" w:type="pct"/>
            <w:tcBorders>
              <w:top w:val="dotted" w:color="auto" w:sz="4" w:space="0"/>
              <w:left w:val="dotted" w:color="auto" w:sz="4" w:space="0"/>
              <w:bottom w:val="double"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15</w:t>
            </w:r>
          </w:p>
        </w:tc>
        <w:tc>
          <w:tcPr>
            <w:tcW w:w="466" w:type="pct"/>
            <w:tcBorders>
              <w:top w:val="dotted" w:color="auto" w:sz="4" w:space="0"/>
              <w:left w:val="dotted" w:color="auto" w:sz="4" w:space="0"/>
              <w:bottom w:val="double"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10</w:t>
            </w:r>
          </w:p>
        </w:tc>
        <w:tc>
          <w:tcPr>
            <w:tcW w:w="555" w:type="pct"/>
            <w:tcBorders>
              <w:top w:val="dotted" w:color="auto" w:sz="4" w:space="0"/>
              <w:left w:val="dotted" w:color="auto" w:sz="4" w:space="0"/>
              <w:bottom w:val="double"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15</w:t>
            </w:r>
          </w:p>
        </w:tc>
        <w:tc>
          <w:tcPr>
            <w:tcW w:w="466" w:type="pct"/>
            <w:tcBorders>
              <w:top w:val="dotted" w:color="auto" w:sz="4" w:space="0"/>
              <w:left w:val="dotted" w:color="auto" w:sz="4" w:space="0"/>
              <w:bottom w:val="double"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10</w:t>
            </w:r>
          </w:p>
        </w:tc>
        <w:tc>
          <w:tcPr>
            <w:tcW w:w="603" w:type="pct"/>
            <w:tcBorders>
              <w:top w:val="dotted" w:color="auto" w:sz="4" w:space="0"/>
              <w:left w:val="dotted" w:color="auto" w:sz="4" w:space="0"/>
              <w:bottom w:val="double"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15</w:t>
            </w:r>
          </w:p>
        </w:tc>
        <w:tc>
          <w:tcPr>
            <w:tcW w:w="437" w:type="pct"/>
            <w:tcBorders>
              <w:top w:val="dotted" w:color="auto" w:sz="4" w:space="0"/>
              <w:left w:val="dotted" w:color="auto" w:sz="4" w:space="0"/>
              <w:bottom w:val="double" w:color="auto" w:sz="4" w:space="0"/>
              <w:right w:val="dotted"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25</w:t>
            </w:r>
          </w:p>
        </w:tc>
        <w:tc>
          <w:tcPr>
            <w:tcW w:w="466" w:type="pct"/>
            <w:tcBorders>
              <w:top w:val="dotted" w:color="auto" w:sz="4" w:space="0"/>
              <w:left w:val="dotted" w:color="auto" w:sz="4" w:space="0"/>
              <w:bottom w:val="double" w:color="auto" w:sz="4" w:space="0"/>
              <w:right w:val="doub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25</w:t>
            </w:r>
          </w:p>
        </w:tc>
      </w:tr>
    </w:tbl>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4</w:t>
      </w:r>
      <w:r>
        <w:rPr>
          <w:rFonts w:hint="default" w:ascii="Times New Roman" w:hAnsi="Times New Roman" w:eastAsia="宋体" w:cs="Times New Roman"/>
          <w:sz w:val="24"/>
          <w:szCs w:val="24"/>
        </w:rPr>
        <w:t>）投资利息</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根据待估宗地开发程度和规模，确定土地开发周期为1年,投资利息率按估价时点适用的贷款市场报价利率（LPR）</w:t>
      </w:r>
      <w:r>
        <w:rPr>
          <w:rFonts w:hint="default" w:ascii="Times New Roman" w:hAnsi="Times New Roman" w:cs="Times New Roman"/>
          <w:sz w:val="24"/>
          <w:szCs w:val="24"/>
          <w:lang w:eastAsia="zh-CN"/>
        </w:rPr>
        <w:t>3.</w:t>
      </w:r>
      <w:r>
        <w:rPr>
          <w:rFonts w:hint="eastAsia" w:ascii="Times New Roman" w:hAnsi="Times New Roman" w:cs="Times New Roman"/>
          <w:sz w:val="24"/>
          <w:szCs w:val="24"/>
          <w:lang w:val="en-US" w:eastAsia="zh-CN"/>
        </w:rPr>
        <w:t>65</w:t>
      </w:r>
      <w:r>
        <w:rPr>
          <w:rFonts w:hint="default" w:ascii="Times New Roman" w:hAnsi="Times New Roman" w:eastAsia="宋体" w:cs="Times New Roman"/>
          <w:sz w:val="24"/>
          <w:szCs w:val="24"/>
        </w:rPr>
        <w:t>%计，其中土地取得费及相关税费在征地时一次性投入，开发费用在开发周期内为均匀投入，则投资利息为：</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9</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eastAsia="zh-CN"/>
        </w:rPr>
        <w:t>.90</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42.50</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3.70</w:t>
      </w:r>
      <w:r>
        <w:rPr>
          <w:rFonts w:hint="default" w:ascii="Times New Roman" w:hAnsi="Times New Roman" w:eastAsia="宋体" w:cs="Times New Roman"/>
          <w:sz w:val="24"/>
          <w:szCs w:val="24"/>
        </w:rPr>
        <w:t>%×1+</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eastAsia="zh-CN"/>
        </w:rPr>
        <w:t>5.00</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3.</w:t>
      </w:r>
      <w:r>
        <w:rPr>
          <w:rFonts w:hint="eastAsia" w:ascii="Times New Roman" w:hAnsi="Times New Roman" w:cs="Times New Roman"/>
          <w:sz w:val="24"/>
          <w:szCs w:val="24"/>
          <w:lang w:val="en-US" w:eastAsia="zh-CN"/>
        </w:rPr>
        <w:t>65</w:t>
      </w:r>
      <w:r>
        <w:rPr>
          <w:rFonts w:hint="default" w:ascii="Times New Roman" w:hAnsi="Times New Roman" w:eastAsia="宋体" w:cs="Times New Roman"/>
          <w:sz w:val="24"/>
          <w:szCs w:val="24"/>
        </w:rPr>
        <w:t>%×0.5=</w:t>
      </w:r>
      <w:r>
        <w:rPr>
          <w:rFonts w:hint="eastAsia" w:ascii="Times New Roman" w:hAnsi="Times New Roman" w:cs="Times New Roman"/>
          <w:sz w:val="24"/>
          <w:szCs w:val="24"/>
          <w:lang w:eastAsia="zh-CN"/>
        </w:rPr>
        <w:t>6.49</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（5）投资利润</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投资利润是把土地作为一种生产要素，以固定资产方式投入，使其发挥作用。故投资利润应与同行业投资回报相一致。通过对</w:t>
      </w:r>
      <w:r>
        <w:rPr>
          <w:rFonts w:hint="default" w:ascii="Times New Roman" w:hAnsi="Times New Roman" w:cs="Times New Roman"/>
          <w:sz w:val="24"/>
          <w:szCs w:val="24"/>
          <w:lang w:eastAsia="zh-CN"/>
        </w:rPr>
        <w:t>海阳市</w:t>
      </w:r>
      <w:r>
        <w:rPr>
          <w:rFonts w:hint="default" w:ascii="Times New Roman" w:hAnsi="Times New Roman" w:eastAsia="宋体" w:cs="Times New Roman"/>
          <w:sz w:val="24"/>
          <w:szCs w:val="24"/>
        </w:rPr>
        <w:t>区相同类型的土地开发进行调查，确定以</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%作为本次土地评估的投资利润率，投资利润为：</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9</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lang w:eastAsia="zh-CN"/>
        </w:rPr>
        <w:t>.90</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42.50</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75.00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21.54</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（6）土地增值收益</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地增值按该区域土地因改变用途或进行土地开发，达到建设用地的某种利用条件而发生的价值增加额计算。根据当地土地管理部门提供的资料及土地增值收益的情况，土地增值收益按成本价格即土地取得费及有关税费、土地开发费、投资利息、投资利润四项之和计算，本次评估综合考虑待估宗地土地增值收益状况，结合本地社会经济发展水平，确定增值收益率为</w:t>
      </w:r>
      <w:r>
        <w:rPr>
          <w:rFonts w:hint="default"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%，则土地增值收益为：</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9</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lang w:eastAsia="zh-CN"/>
        </w:rPr>
        <w:t>.90</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42.50</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75.00</w:t>
      </w:r>
      <w:r>
        <w:rPr>
          <w:rFonts w:hint="default" w:ascii="Times New Roman" w:hAnsi="Times New Roman" w:eastAsia="宋体" w:cs="Times New Roman"/>
          <w:sz w:val="24"/>
          <w:szCs w:val="24"/>
        </w:rPr>
        <w:t>+</w:t>
      </w:r>
      <w:r>
        <w:rPr>
          <w:rFonts w:hint="eastAsia" w:ascii="Times New Roman" w:hAnsi="Times New Roman" w:cs="Times New Roman"/>
          <w:sz w:val="24"/>
          <w:szCs w:val="24"/>
          <w:lang w:eastAsia="zh-CN"/>
        </w:rPr>
        <w:t>6.49</w:t>
      </w:r>
      <w:r>
        <w:rPr>
          <w:rFonts w:hint="default" w:ascii="Times New Roman" w:hAnsi="Times New Roman" w:eastAsia="宋体" w:cs="Times New Roman"/>
          <w:sz w:val="24"/>
          <w:szCs w:val="24"/>
        </w:rPr>
        <w:t>+</w:t>
      </w:r>
      <w:r>
        <w:rPr>
          <w:rFonts w:hint="eastAsia" w:ascii="Times New Roman" w:hAnsi="Times New Roman" w:cs="Times New Roman"/>
          <w:sz w:val="24"/>
          <w:szCs w:val="24"/>
          <w:lang w:eastAsia="zh-CN"/>
        </w:rPr>
        <w:t>21.54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36.51</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（7）无限年期土地使用权价格</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根据成本逼近法计算公式，无限年期土地价格为：</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9</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lang w:eastAsia="zh-CN"/>
        </w:rPr>
        <w:t>.90</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42.50</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75.00</w:t>
      </w:r>
      <w:r>
        <w:rPr>
          <w:rFonts w:hint="default" w:ascii="Times New Roman" w:hAnsi="Times New Roman" w:eastAsia="宋体" w:cs="Times New Roman"/>
          <w:sz w:val="24"/>
          <w:szCs w:val="24"/>
        </w:rPr>
        <w:t>+</w:t>
      </w:r>
      <w:r>
        <w:rPr>
          <w:rFonts w:hint="eastAsia" w:ascii="Times New Roman" w:hAnsi="Times New Roman" w:cs="Times New Roman"/>
          <w:sz w:val="24"/>
          <w:szCs w:val="24"/>
          <w:lang w:eastAsia="zh-CN"/>
        </w:rPr>
        <w:t>6.49</w:t>
      </w:r>
      <w:r>
        <w:rPr>
          <w:rFonts w:hint="default" w:ascii="Times New Roman" w:hAnsi="Times New Roman" w:eastAsia="宋体" w:cs="Times New Roman"/>
          <w:sz w:val="24"/>
          <w:szCs w:val="24"/>
        </w:rPr>
        <w:t>+</w:t>
      </w:r>
      <w:r>
        <w:rPr>
          <w:rFonts w:hint="eastAsia" w:ascii="Times New Roman" w:hAnsi="Times New Roman" w:cs="Times New Roman"/>
          <w:sz w:val="24"/>
          <w:szCs w:val="24"/>
          <w:lang w:eastAsia="zh-CN"/>
        </w:rPr>
        <w:t>21.54</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36.51</w:t>
      </w:r>
      <w:r>
        <w:rPr>
          <w:rFonts w:hint="default" w:ascii="Times New Roman" w:hAnsi="Times New Roman" w:eastAsia="宋体" w:cs="Times New Roman"/>
          <w:sz w:val="24"/>
          <w:szCs w:val="24"/>
        </w:rPr>
        <w:t>=</w:t>
      </w:r>
      <w:r>
        <w:rPr>
          <w:rFonts w:hint="eastAsia" w:ascii="Times New Roman" w:hAnsi="Times New Roman" w:cs="Times New Roman"/>
          <w:sz w:val="24"/>
          <w:szCs w:val="24"/>
          <w:lang w:eastAsia="zh-CN"/>
        </w:rPr>
        <w:t>243.43</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⑻ 有限年期土地使用权价格</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有限年期地价测算公式为：</w:t>
      </w:r>
    </w:p>
    <w:p>
      <w:pPr>
        <w:pStyle w:val="2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sz w:val="24"/>
          <w:szCs w:val="24"/>
        </w:rPr>
      </w:pPr>
    </w:p>
    <w:p>
      <w:pPr>
        <w:pStyle w:val="20"/>
        <w:keepNext w:val="0"/>
        <w:keepLines w:val="0"/>
        <w:pageBreakBefore w:val="0"/>
        <w:widowControl w:val="0"/>
        <w:kinsoku/>
        <w:wordWrap/>
        <w:overflowPunct/>
        <w:topLinePunct w:val="0"/>
        <w:autoSpaceDE/>
        <w:autoSpaceDN/>
        <w:bidi w:val="0"/>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anchor distT="0" distB="0" distL="114300" distR="114300" simplePos="0" relativeHeight="251660288" behindDoc="1" locked="0" layoutInCell="1" allowOverlap="1">
            <wp:simplePos x="0" y="0"/>
            <wp:positionH relativeFrom="column">
              <wp:posOffset>304800</wp:posOffset>
            </wp:positionH>
            <wp:positionV relativeFrom="paragraph">
              <wp:posOffset>-66040</wp:posOffset>
            </wp:positionV>
            <wp:extent cx="1676400" cy="318135"/>
            <wp:effectExtent l="0" t="0" r="0" b="19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1676400" cy="318135"/>
                    </a:xfrm>
                    <a:prstGeom prst="rect">
                      <a:avLst/>
                    </a:prstGeom>
                    <a:noFill/>
                    <a:ln>
                      <a:noFill/>
                    </a:ln>
                  </pic:spPr>
                </pic:pic>
              </a:graphicData>
            </a:graphic>
          </wp:anchor>
        </w:drawing>
      </w:r>
    </w:p>
    <w:p>
      <w:pPr>
        <w:pStyle w:val="20"/>
        <w:keepNext w:val="0"/>
        <w:keepLines w:val="0"/>
        <w:pageBreakBefore w:val="0"/>
        <w:widowControl w:val="0"/>
        <w:kinsoku/>
        <w:wordWrap/>
        <w:overflowPunct/>
        <w:topLinePunct w:val="0"/>
        <w:autoSpaceDE/>
        <w:autoSpaceDN/>
        <w:bidi w:val="0"/>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式中：Ｐ</w:t>
      </w:r>
      <w:r>
        <w:rPr>
          <w:rFonts w:hint="default" w:ascii="Times New Roman" w:hAnsi="Times New Roman" w:eastAsia="宋体" w:cs="Times New Roman"/>
          <w:sz w:val="24"/>
          <w:szCs w:val="24"/>
          <w:vertAlign w:val="subscript"/>
        </w:rPr>
        <w:t>ic</w:t>
      </w:r>
      <w:r>
        <w:rPr>
          <w:rFonts w:hint="default" w:ascii="Times New Roman" w:hAnsi="Times New Roman" w:eastAsia="宋体" w:cs="Times New Roman"/>
          <w:sz w:val="24"/>
          <w:szCs w:val="24"/>
        </w:rPr>
        <w:t>：无限年期土地使用权价格(元/平方米)</w:t>
      </w:r>
    </w:p>
    <w:p>
      <w:pPr>
        <w:pStyle w:val="20"/>
        <w:keepNext w:val="0"/>
        <w:keepLines w:val="0"/>
        <w:pageBreakBefore w:val="0"/>
        <w:widowControl w:val="0"/>
        <w:kinsoku/>
        <w:wordWrap/>
        <w:overflowPunct/>
        <w:topLinePunct w:val="0"/>
        <w:autoSpaceDE/>
        <w:autoSpaceDN/>
        <w:bidi w:val="0"/>
        <w:spacing w:after="0"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Ｐ</w:t>
      </w:r>
      <w:r>
        <w:rPr>
          <w:rFonts w:hint="default" w:ascii="Times New Roman" w:hAnsi="Times New Roman" w:eastAsia="宋体" w:cs="Times New Roman"/>
          <w:sz w:val="24"/>
          <w:szCs w:val="24"/>
          <w:vertAlign w:val="subscript"/>
        </w:rPr>
        <w:t>is</w:t>
      </w:r>
      <w:r>
        <w:rPr>
          <w:rFonts w:hint="default" w:ascii="Times New Roman" w:hAnsi="Times New Roman" w:eastAsia="宋体" w:cs="Times New Roman"/>
          <w:sz w:val="24"/>
          <w:szCs w:val="24"/>
        </w:rPr>
        <w:t>：待估宗地实际剩余年期使用权价格(元/平方米)</w:t>
      </w:r>
    </w:p>
    <w:p>
      <w:pPr>
        <w:pStyle w:val="20"/>
        <w:keepNext w:val="0"/>
        <w:keepLines w:val="0"/>
        <w:pageBreakBefore w:val="0"/>
        <w:widowControl w:val="0"/>
        <w:kinsoku/>
        <w:wordWrap/>
        <w:overflowPunct/>
        <w:topLinePunct w:val="0"/>
        <w:autoSpaceDE/>
        <w:autoSpaceDN/>
        <w:bidi w:val="0"/>
        <w:spacing w:after="0"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 土地还原利率（按</w:t>
      </w: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rPr>
        <w:t>％计）</w:t>
      </w:r>
    </w:p>
    <w:p>
      <w:pPr>
        <w:pStyle w:val="20"/>
        <w:keepNext w:val="0"/>
        <w:keepLines w:val="0"/>
        <w:pageBreakBefore w:val="0"/>
        <w:widowControl w:val="0"/>
        <w:kinsoku/>
        <w:wordWrap/>
        <w:overflowPunct/>
        <w:topLinePunct w:val="0"/>
        <w:autoSpaceDE/>
        <w:autoSpaceDN/>
        <w:bidi w:val="0"/>
        <w:spacing w:after="0"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n：土地剩余使用年期</w:t>
      </w:r>
      <w:r>
        <w:rPr>
          <w:rFonts w:hint="eastAsia" w:ascii="Times New Roman" w:hAnsi="Times New Roman" w:cs="Times New Roman"/>
          <w:sz w:val="24"/>
          <w:szCs w:val="24"/>
          <w:lang w:val="en-US" w:eastAsia="zh-CN"/>
        </w:rPr>
        <w:t>34.24</w:t>
      </w:r>
      <w:r>
        <w:rPr>
          <w:rFonts w:hint="default" w:ascii="Times New Roman" w:hAnsi="Times New Roman" w:eastAsia="宋体" w:cs="Times New Roman"/>
          <w:sz w:val="24"/>
          <w:szCs w:val="24"/>
        </w:rPr>
        <w:t>年）</w:t>
      </w:r>
    </w:p>
    <w:p>
      <w:pPr>
        <w:pStyle w:val="20"/>
        <w:keepNext w:val="0"/>
        <w:keepLines w:val="0"/>
        <w:pageBreakBefore w:val="0"/>
        <w:widowControl w:val="0"/>
        <w:kinsoku/>
        <w:wordWrap/>
        <w:overflowPunct/>
        <w:topLinePunct w:val="0"/>
        <w:autoSpaceDE/>
        <w:autoSpaceDN/>
        <w:bidi w:val="0"/>
        <w:spacing w:after="0" w:line="500" w:lineRule="exact"/>
        <w:ind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根据有限年期修正系数公式，求得待估宗地剩余使用年期修正系数为0.8119 </w:t>
      </w:r>
      <w:r>
        <w:rPr>
          <w:rFonts w:hint="default" w:ascii="Times New Roman" w:hAnsi="Times New Roman" w:cs="Times New Roman"/>
          <w:sz w:val="24"/>
          <w:szCs w:val="24"/>
          <w:lang w:val="en-US" w:eastAsia="zh-CN"/>
        </w:rPr>
        <w:tab/>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则有限年期土地价格＝无限年期土地价格×年期修正系数＝</w:t>
      </w:r>
      <w:r>
        <w:rPr>
          <w:rFonts w:hint="eastAsia" w:ascii="Times New Roman" w:hAnsi="Times New Roman" w:cs="Times New Roman"/>
          <w:sz w:val="24"/>
          <w:szCs w:val="24"/>
          <w:lang w:val="en-US" w:eastAsia="zh-CN"/>
        </w:rPr>
        <w:t>227.00</w:t>
      </w:r>
      <w:r>
        <w:rPr>
          <w:rFonts w:hint="default" w:ascii="Times New Roman" w:hAnsi="Times New Roman" w:eastAsia="宋体" w:cs="Times New Roman"/>
          <w:sz w:val="24"/>
          <w:szCs w:val="24"/>
        </w:rPr>
        <w:t>元/平方米。</w:t>
      </w:r>
    </w:p>
    <w:p>
      <w:pPr>
        <w:pStyle w:val="20"/>
        <w:keepNext w:val="0"/>
        <w:keepLines w:val="0"/>
        <w:pageBreakBefore w:val="0"/>
        <w:widowControl w:val="0"/>
        <w:kinsoku/>
        <w:wordWrap/>
        <w:overflowPunct/>
        <w:topLinePunct w:val="0"/>
        <w:autoSpaceDE/>
        <w:autoSpaceDN/>
        <w:bidi w:val="0"/>
        <w:spacing w:after="0" w:line="500" w:lineRule="exact"/>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土</w:t>
      </w:r>
      <w:r>
        <w:rPr>
          <w:rFonts w:hint="default" w:ascii="Times New Roman" w:hAnsi="Times New Roman" w:eastAsia="宋体" w:cs="Times New Roman"/>
          <w:sz w:val="24"/>
          <w:szCs w:val="24"/>
          <w:lang w:val="en-US" w:eastAsia="zh-CN" w:bidi="ar-SA"/>
        </w:rPr>
        <w:t>地价格=有限年期土地价格×（1+区位修正系数）=</w:t>
      </w:r>
      <w:r>
        <w:rPr>
          <w:rFonts w:hint="eastAsia" w:ascii="Times New Roman" w:hAnsi="Times New Roman" w:cs="Times New Roman"/>
          <w:sz w:val="24"/>
          <w:szCs w:val="24"/>
          <w:lang w:val="en-US" w:eastAsia="zh-CN"/>
        </w:rPr>
        <w:t>227.00</w:t>
      </w:r>
      <w:r>
        <w:rPr>
          <w:rFonts w:hint="default" w:ascii="Times New Roman" w:hAnsi="Times New Roman" w:eastAsia="宋体" w:cs="Times New Roman"/>
          <w:sz w:val="24"/>
          <w:szCs w:val="24"/>
          <w:lang w:val="en-US" w:eastAsia="zh-CN" w:bidi="ar-SA"/>
        </w:rPr>
        <w:t>元/平</w:t>
      </w:r>
      <w:r>
        <w:rPr>
          <w:rFonts w:hint="default" w:ascii="Times New Roman" w:hAnsi="Times New Roman" w:eastAsia="宋体" w:cs="Times New Roman"/>
          <w:sz w:val="24"/>
          <w:szCs w:val="24"/>
        </w:rPr>
        <w:t>方米</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left="0" w:right="0" w:firstLine="482" w:firstLineChars="200"/>
        <w:jc w:val="both"/>
        <w:textAlignment w:val="auto"/>
        <w:outlineLvl w:val="9"/>
        <w:rPr>
          <w:rFonts w:hint="default" w:ascii="Times New Roman" w:hAnsi="Times New Roman" w:eastAsia="宋体" w:cs="Times New Roman"/>
          <w:b/>
          <w:bCs/>
          <w:sz w:val="24"/>
          <w:szCs w:val="24"/>
          <w:lang w:val="zh-CN"/>
        </w:rPr>
      </w:pPr>
      <w:bookmarkStart w:id="41" w:name="_Toc410310739"/>
      <w:r>
        <w:rPr>
          <w:rFonts w:hint="default" w:ascii="Times New Roman" w:hAnsi="Times New Roman" w:eastAsia="宋体" w:cs="Times New Roman"/>
          <w:b/>
          <w:bCs/>
          <w:sz w:val="24"/>
          <w:szCs w:val="24"/>
          <w:lang w:val="en-US" w:eastAsia="zh-CN"/>
        </w:rPr>
        <w:t>C</w:t>
      </w:r>
      <w:r>
        <w:rPr>
          <w:rFonts w:hint="default" w:ascii="Times New Roman" w:hAnsi="Times New Roman" w:eastAsia="宋体" w:cs="Times New Roman"/>
          <w:b/>
          <w:bCs/>
          <w:sz w:val="24"/>
          <w:szCs w:val="24"/>
          <w:lang w:val="zh-CN"/>
        </w:rPr>
        <w:t>、地价的确定</w:t>
      </w:r>
      <w:bookmarkEnd w:id="41"/>
    </w:p>
    <w:p>
      <w:pPr>
        <w:pStyle w:val="83"/>
        <w:keepNext w:val="0"/>
        <w:keepLines w:val="0"/>
        <w:pageBreakBefore w:val="0"/>
        <w:widowControl w:val="0"/>
        <w:kinsoku/>
        <w:wordWrap/>
        <w:overflowPunct/>
        <w:topLinePunct w:val="0"/>
        <w:bidi w:val="0"/>
        <w:adjustRightInd w:val="0"/>
        <w:snapToGrid w:val="0"/>
        <w:spacing w:line="500" w:lineRule="exact"/>
        <w:ind w:left="0" w:right="0"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根据地价评估技术规程和估价对象的具体情况，采用</w:t>
      </w:r>
      <w:r>
        <w:rPr>
          <w:rFonts w:hint="default" w:ascii="Times New Roman" w:hAnsi="Times New Roman" w:cs="Times New Roman" w:eastAsiaTheme="minorEastAsia"/>
          <w:sz w:val="24"/>
          <w:szCs w:val="24"/>
          <w:lang w:eastAsia="zh-CN"/>
        </w:rPr>
        <w:t>市场法</w:t>
      </w:r>
      <w:r>
        <w:rPr>
          <w:rFonts w:hint="default" w:ascii="Times New Roman" w:hAnsi="Times New Roman" w:cs="Times New Roman" w:eastAsiaTheme="minorEastAsia"/>
          <w:sz w:val="24"/>
          <w:szCs w:val="24"/>
        </w:rPr>
        <w:t>、成本逼近法进行测算。其中</w:t>
      </w:r>
      <w:r>
        <w:rPr>
          <w:rFonts w:hint="eastAsia" w:ascii="Times New Roman" w:hAnsi="Times New Roman" w:cs="Times New Roman" w:eastAsiaTheme="minorEastAsia"/>
          <w:sz w:val="24"/>
          <w:szCs w:val="24"/>
          <w:lang w:eastAsia="zh-CN"/>
        </w:rPr>
        <w:t>市场法</w:t>
      </w:r>
      <w:r>
        <w:rPr>
          <w:rFonts w:hint="default" w:ascii="Times New Roman" w:hAnsi="Times New Roman" w:cs="Times New Roman" w:eastAsiaTheme="minorEastAsia"/>
          <w:sz w:val="24"/>
          <w:szCs w:val="24"/>
        </w:rPr>
        <w:t>测算的结果与成本逼近法的测算结果有差异。为使评估结果更符合市场实际，并且根据谨慎性地原则，结合估价人员对宗地周围土地市场的调查及估价经验，分别取</w:t>
      </w:r>
      <w:r>
        <w:rPr>
          <w:rFonts w:hint="default" w:ascii="Times New Roman" w:hAnsi="Times New Roman" w:cs="Times New Roman" w:eastAsiaTheme="minorEastAsia"/>
          <w:sz w:val="24"/>
          <w:szCs w:val="24"/>
          <w:lang w:eastAsia="zh-CN"/>
        </w:rPr>
        <w:t>市场法</w:t>
      </w:r>
      <w:r>
        <w:rPr>
          <w:rFonts w:hint="default" w:ascii="Times New Roman" w:hAnsi="Times New Roman" w:cs="Times New Roman" w:eastAsiaTheme="minorEastAsia"/>
          <w:sz w:val="24"/>
          <w:szCs w:val="24"/>
        </w:rPr>
        <w:t>测算结果和成本法测算结果的权重为0.</w:t>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和0.</w:t>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，求加权算术平均值确定单位地价。详见估价结果确定表（表5）：</w:t>
      </w:r>
    </w:p>
    <w:p>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表5   估价结果确定表</w:t>
      </w:r>
    </w:p>
    <w:tbl>
      <w:tblPr>
        <w:tblStyle w:val="36"/>
        <w:tblW w:w="4998" w:type="pct"/>
        <w:jc w:val="center"/>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autofit"/>
        <w:tblCellMar>
          <w:top w:w="0" w:type="dxa"/>
          <w:left w:w="108" w:type="dxa"/>
          <w:bottom w:w="0" w:type="dxa"/>
          <w:right w:w="108" w:type="dxa"/>
        </w:tblCellMar>
      </w:tblPr>
      <w:tblGrid>
        <w:gridCol w:w="2199"/>
        <w:gridCol w:w="1237"/>
        <w:gridCol w:w="2253"/>
        <w:gridCol w:w="1567"/>
        <w:gridCol w:w="1914"/>
      </w:tblGrid>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23" w:hRule="atLeast"/>
          <w:jc w:val="center"/>
        </w:trPr>
        <w:tc>
          <w:tcPr>
            <w:tcW w:w="1873"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市场</w:t>
            </w: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法</w:t>
            </w:r>
          </w:p>
        </w:tc>
        <w:tc>
          <w:tcPr>
            <w:tcW w:w="2082" w:type="pct"/>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成本法</w:t>
            </w:r>
          </w:p>
        </w:tc>
        <w:tc>
          <w:tcPr>
            <w:tcW w:w="1043" w:type="pct"/>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单价确定</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（元/平方米）</w:t>
            </w: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23" w:hRule="atLeast"/>
          <w:jc w:val="center"/>
        </w:trPr>
        <w:tc>
          <w:tcPr>
            <w:tcW w:w="119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测算地价</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（元/平方米）</w:t>
            </w:r>
          </w:p>
        </w:tc>
        <w:tc>
          <w:tcPr>
            <w:tcW w:w="673"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权重</w:t>
            </w:r>
          </w:p>
        </w:tc>
        <w:tc>
          <w:tcPr>
            <w:tcW w:w="1228"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测算地价</w:t>
            </w:r>
          </w:p>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（元/平方米）</w:t>
            </w:r>
          </w:p>
        </w:tc>
        <w:tc>
          <w:tcPr>
            <w:tcW w:w="854"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权重</w:t>
            </w:r>
          </w:p>
        </w:tc>
        <w:tc>
          <w:tcPr>
            <w:tcW w:w="1043" w:type="pct"/>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cantSplit/>
          <w:trHeight w:val="23" w:hRule="atLeast"/>
          <w:jc w:val="center"/>
        </w:trPr>
        <w:tc>
          <w:tcPr>
            <w:tcW w:w="119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21</w:t>
            </w:r>
            <w:r>
              <w:rPr>
                <w:rFonts w:hint="eastAsia" w:ascii="Times New Roman" w:hAnsi="Times New Roman" w:cs="Times New Roman"/>
                <w:color w:val="000000" w:themeColor="text1"/>
                <w:kern w:val="0"/>
                <w:sz w:val="18"/>
                <w:szCs w:val="18"/>
                <w:lang w:val="en-US" w:eastAsia="zh-CN"/>
                <w14:textFill>
                  <w14:solidFill>
                    <w14:schemeClr w14:val="tx1"/>
                  </w14:solidFill>
                </w14:textFill>
              </w:rPr>
              <w:t>5</w:t>
            </w:r>
            <w:r>
              <w:rPr>
                <w:rFonts w:hint="default" w:ascii="Times New Roman" w:hAnsi="Times New Roman" w:cs="Times New Roman"/>
                <w:color w:val="000000" w:themeColor="text1"/>
                <w:kern w:val="0"/>
                <w:sz w:val="18"/>
                <w:szCs w:val="18"/>
                <w:lang w:val="en-US" w:eastAsia="zh-CN"/>
                <w14:textFill>
                  <w14:solidFill>
                    <w14:schemeClr w14:val="tx1"/>
                  </w14:solidFill>
                </w14:textFill>
              </w:rPr>
              <w:t>.00</w:t>
            </w:r>
          </w:p>
        </w:tc>
        <w:tc>
          <w:tcPr>
            <w:tcW w:w="673"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zh-CN"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50</w:t>
            </w:r>
            <w:r>
              <w:rPr>
                <w:rFonts w:hint="default" w:ascii="Times New Roman" w:hAnsi="Times New Roman" w:eastAsia="宋体" w:cs="Times New Roman"/>
                <w:color w:val="000000" w:themeColor="text1"/>
                <w:kern w:val="0"/>
                <w:sz w:val="18"/>
                <w:szCs w:val="18"/>
                <w:lang w:val="zh-CN" w:eastAsia="zh-CN"/>
                <w14:textFill>
                  <w14:solidFill>
                    <w14:schemeClr w14:val="tx1"/>
                  </w14:solidFill>
                </w14:textFill>
              </w:rPr>
              <w:t>%</w:t>
            </w:r>
          </w:p>
        </w:tc>
        <w:tc>
          <w:tcPr>
            <w:tcW w:w="1228"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227.00</w:t>
            </w:r>
          </w:p>
        </w:tc>
        <w:tc>
          <w:tcPr>
            <w:tcW w:w="854"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50</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1043"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221.</w:t>
            </w:r>
            <w:r>
              <w:rPr>
                <w:rFonts w:hint="default" w:ascii="Times New Roman" w:hAnsi="Times New Roman" w:cs="Times New Roman"/>
                <w:color w:val="000000" w:themeColor="text1"/>
                <w:kern w:val="0"/>
                <w:sz w:val="18"/>
                <w:szCs w:val="18"/>
                <w:lang w:val="en-US" w:eastAsia="zh-CN"/>
                <w14:textFill>
                  <w14:solidFill>
                    <w14:schemeClr w14:val="tx1"/>
                  </w14:solidFill>
                </w14:textFill>
              </w:rPr>
              <w:t>00</w:t>
            </w:r>
          </w:p>
        </w:tc>
      </w:tr>
    </w:tbl>
    <w:p>
      <w:pPr>
        <w:keepNext w:val="0"/>
        <w:keepLines w:val="0"/>
        <w:pageBreakBefore w:val="0"/>
        <w:widowControl w:val="0"/>
        <w:kinsoku/>
        <w:wordWrap/>
        <w:overflowPunct/>
        <w:topLinePunct w:val="0"/>
        <w:autoSpaceDE w:val="0"/>
        <w:autoSpaceDN w:val="0"/>
        <w:bidi w:val="0"/>
        <w:adjustRightInd w:val="0"/>
        <w:snapToGrid/>
        <w:spacing w:after="0" w:line="500" w:lineRule="exact"/>
        <w:ind w:left="0" w:right="0" w:firstLine="482" w:firstLineChars="20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D、综合变现折扣率</w:t>
      </w:r>
    </w:p>
    <w:tbl>
      <w:tblPr>
        <w:tblStyle w:val="36"/>
        <w:tblW w:w="5002" w:type="pct"/>
        <w:tblInd w:w="0" w:type="dxa"/>
        <w:shd w:val="clear" w:color="auto" w:fill="auto"/>
        <w:tblLayout w:type="autofit"/>
        <w:tblCellMar>
          <w:top w:w="0" w:type="dxa"/>
          <w:left w:w="0" w:type="dxa"/>
          <w:bottom w:w="0" w:type="dxa"/>
          <w:right w:w="0" w:type="dxa"/>
        </w:tblCellMar>
      </w:tblPr>
      <w:tblGrid>
        <w:gridCol w:w="646"/>
        <w:gridCol w:w="2106"/>
        <w:gridCol w:w="4261"/>
        <w:gridCol w:w="968"/>
        <w:gridCol w:w="1011"/>
      </w:tblGrid>
      <w:tr>
        <w:trPr>
          <w:trHeight w:val="363" w:hRule="exact"/>
        </w:trPr>
        <w:tc>
          <w:tcPr>
            <w:tcW w:w="359" w:type="pct"/>
            <w:tcBorders>
              <w:top w:val="double"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序号</w:t>
            </w:r>
          </w:p>
        </w:tc>
        <w:tc>
          <w:tcPr>
            <w:tcW w:w="1170" w:type="pct"/>
            <w:tcBorders>
              <w:top w:val="double"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影响抵债物变现因素名称</w:t>
            </w:r>
          </w:p>
        </w:tc>
        <w:tc>
          <w:tcPr>
            <w:tcW w:w="2369" w:type="pct"/>
            <w:tcBorders>
              <w:top w:val="double"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现状条件</w:t>
            </w:r>
          </w:p>
        </w:tc>
        <w:tc>
          <w:tcPr>
            <w:tcW w:w="538" w:type="pct"/>
            <w:tcBorders>
              <w:top w:val="double"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影响程度</w:t>
            </w:r>
          </w:p>
        </w:tc>
        <w:tc>
          <w:tcPr>
            <w:tcW w:w="562" w:type="pct"/>
            <w:tcBorders>
              <w:top w:val="double"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分值(%)</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一</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法律限制因素</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权利状况对过户的影响</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抵押</w:t>
            </w: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较小</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租约限制及地役权等</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房地分别抵押</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抵押物涉及刑事查封</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5</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违章搭建或改造</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6</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抵押物分割状态不明</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二</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市场因素</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20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市场活跃程度</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低</w:t>
            </w: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较小</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市场公开程度</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低</w:t>
            </w: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较小</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三</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物业个性对变现的影响</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eastAsia" w:ascii="Times New Roman" w:hAnsi="Times New Roman" w:cs="Times New Roman"/>
                <w:b/>
                <w:bCs/>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物业类型</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68" w:type="dxa"/>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1011" w:type="dxa"/>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物业大小</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968" w:type="dxa"/>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1011" w:type="dxa"/>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邻里权属关系、通道条件</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房屋用途的变通性改造潜力</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四</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其他不确定因素的影响</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0</w:t>
            </w:r>
          </w:p>
        </w:tc>
      </w:tr>
      <w:tr>
        <w:tblPrEx>
          <w:shd w:val="clear" w:color="auto" w:fill="auto"/>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异地他案首轮查封</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本地他案首轮查封</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3</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第三方占用</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tblCellMar>
            <w:top w:w="0" w:type="dxa"/>
            <w:left w:w="0" w:type="dxa"/>
            <w:bottom w:w="0" w:type="dxa"/>
            <w:right w:w="0" w:type="dxa"/>
          </w:tblCellMar>
        </w:tblPrEx>
        <w:trPr>
          <w:trHeight w:val="295" w:hRule="exact"/>
        </w:trPr>
        <w:tc>
          <w:tcPr>
            <w:tcW w:w="359" w:type="pct"/>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p>
        </w:tc>
        <w:tc>
          <w:tcPr>
            <w:tcW w:w="1170"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其他不确定因素</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无</w:t>
            </w: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exact"/>
        </w:trPr>
        <w:tc>
          <w:tcPr>
            <w:tcW w:w="1530" w:type="pct"/>
            <w:gridSpan w:val="2"/>
            <w:tcBorders>
              <w:top w:val="dotted" w:color="000000" w:sz="4" w:space="0"/>
              <w:left w:val="double"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合计</w:t>
            </w:r>
          </w:p>
        </w:tc>
        <w:tc>
          <w:tcPr>
            <w:tcW w:w="2369"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tted"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62" w:type="pct"/>
            <w:tcBorders>
              <w:top w:val="dotted" w:color="000000" w:sz="4" w:space="0"/>
              <w:left w:val="dotted" w:color="000000" w:sz="4" w:space="0"/>
              <w:bottom w:val="dotted"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3</w:t>
            </w:r>
            <w:r>
              <w:rPr>
                <w:rFonts w:hint="eastAsia" w:ascii="Times New Roman" w:hAnsi="Times New Roman" w:cs="Times New Roman"/>
                <w:color w:val="000000" w:themeColor="text1"/>
                <w:kern w:val="0"/>
                <w:sz w:val="18"/>
                <w:szCs w:val="18"/>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exact"/>
        </w:trPr>
        <w:tc>
          <w:tcPr>
            <w:tcW w:w="1530" w:type="pct"/>
            <w:gridSpan w:val="2"/>
            <w:tcBorders>
              <w:top w:val="dotted" w:color="000000" w:sz="4" w:space="0"/>
              <w:left w:val="double" w:color="000000" w:sz="4" w:space="0"/>
              <w:bottom w:val="double"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综合变现折扣率</w:t>
            </w:r>
          </w:p>
        </w:tc>
        <w:tc>
          <w:tcPr>
            <w:tcW w:w="2369" w:type="pct"/>
            <w:tcBorders>
              <w:top w:val="dotted" w:color="000000" w:sz="4" w:space="0"/>
              <w:left w:val="dotted" w:color="000000" w:sz="4" w:space="0"/>
              <w:bottom w:val="double"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38" w:type="pct"/>
            <w:tcBorders>
              <w:top w:val="dotted" w:color="000000" w:sz="4" w:space="0"/>
              <w:left w:val="dotted" w:color="000000" w:sz="4" w:space="0"/>
              <w:bottom w:val="double" w:color="000000" w:sz="4" w:space="0"/>
              <w:right w:val="dotted"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p>
        </w:tc>
        <w:tc>
          <w:tcPr>
            <w:tcW w:w="562" w:type="pct"/>
            <w:tcBorders>
              <w:top w:val="dotted" w:color="000000" w:sz="4" w:space="0"/>
              <w:left w:val="dotted" w:color="000000" w:sz="4" w:space="0"/>
              <w:bottom w:val="double" w:color="000000" w:sz="4" w:space="0"/>
              <w:right w:val="doub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3</w:t>
            </w:r>
            <w:r>
              <w:rPr>
                <w:rFonts w:hint="eastAsia" w:ascii="Times New Roman" w:hAnsi="Times New Roman" w:cs="Times New Roman"/>
                <w:b/>
                <w:bCs/>
                <w:color w:val="000000" w:themeColor="text1"/>
                <w:kern w:val="0"/>
                <w:sz w:val="18"/>
                <w:szCs w:val="18"/>
                <w:lang w:val="en-US" w:eastAsia="zh-CN"/>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rPr>
        <w:t>变现</w:t>
      </w:r>
      <w:r>
        <w:rPr>
          <w:rFonts w:hint="default" w:ascii="Times New Roman" w:hAnsi="Times New Roman" w:eastAsia="宋体" w:cs="Times New Roman"/>
          <w:color w:val="auto"/>
          <w:sz w:val="24"/>
          <w:szCs w:val="24"/>
          <w:highlight w:val="none"/>
        </w:rPr>
        <w:t>价值=评估</w:t>
      </w:r>
      <w:r>
        <w:rPr>
          <w:rFonts w:hint="default" w:ascii="Times New Roman" w:hAnsi="Times New Roman" w:eastAsia="宋体" w:cs="Times New Roman"/>
          <w:color w:val="auto"/>
          <w:sz w:val="24"/>
          <w:szCs w:val="24"/>
          <w:highlight w:val="none"/>
          <w:lang w:eastAsia="zh-CN"/>
        </w:rPr>
        <w:t>单价</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szCs w:val="24"/>
          <w:highlight w:val="none"/>
          <w:lang w:eastAsia="zh-CN"/>
        </w:rPr>
        <w:t>土地</w:t>
      </w:r>
      <w:r>
        <w:rPr>
          <w:rFonts w:hint="default" w:ascii="Times New Roman" w:hAnsi="Times New Roman" w:eastAsia="宋体" w:cs="Times New Roman"/>
          <w:color w:val="auto"/>
          <w:sz w:val="24"/>
          <w:szCs w:val="24"/>
          <w:highlight w:val="none"/>
        </w:rPr>
        <w:t>面积×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sz w:val="24"/>
          <w:szCs w:val="24"/>
          <w:lang w:val="en-US" w:eastAsia="zh-CN"/>
        </w:rPr>
        <w:t>综合变现折扣率</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cs="Times New Roman"/>
          <w:sz w:val="24"/>
          <w:szCs w:val="24"/>
          <w:highlight w:val="none"/>
          <w:lang w:val="en-US" w:eastAsia="zh-CN"/>
        </w:rPr>
        <w:t>221</w:t>
      </w:r>
      <w:r>
        <w:rPr>
          <w:rFonts w:hint="default" w:ascii="Times New Roman" w:hAnsi="Times New Roman" w:cs="Times New Roman"/>
          <w:sz w:val="24"/>
          <w:szCs w:val="24"/>
          <w:highlight w:val="none"/>
          <w:lang w:val="en-US" w:eastAsia="zh-CN"/>
        </w:rPr>
        <w:t>.00</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9,396.08</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after="0" w:line="48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 1,453,574.00（元）</w:t>
      </w:r>
    </w:p>
    <w:p>
      <w:pPr>
        <w:pStyle w:val="4"/>
        <w:keepNext w:val="0"/>
        <w:keepLines w:val="0"/>
        <w:pageBreakBefore w:val="0"/>
        <w:widowControl/>
        <w:shd w:val="clear" w:color="auto" w:fill="auto"/>
        <w:kinsoku/>
        <w:wordWrap/>
        <w:overflowPunct/>
        <w:topLinePunct w:val="0"/>
        <w:autoSpaceDE/>
        <w:autoSpaceDN/>
        <w:bidi w:val="0"/>
        <w:adjustRightInd/>
        <w:snapToGrid/>
        <w:spacing w:before="0" w:after="0" w:line="480" w:lineRule="exact"/>
        <w:ind w:firstLine="482" w:firstLineChars="200"/>
        <w:jc w:val="both"/>
        <w:textAlignment w:val="auto"/>
        <w:rPr>
          <w:rFonts w:hint="default" w:ascii="Times New Roman" w:hAnsi="Times New Roman" w:eastAsia="宋体" w:cs="Times New Roman"/>
          <w:b/>
          <w:color w:val="auto"/>
          <w:sz w:val="24"/>
          <w:szCs w:val="24"/>
          <w:highlight w:val="none"/>
          <w:lang w:val="en-US" w:eastAsia="zh-CN"/>
        </w:rPr>
      </w:pPr>
      <w:bookmarkStart w:id="42" w:name="_Toc21870"/>
      <w:r>
        <w:rPr>
          <w:rFonts w:hint="default" w:ascii="Times New Roman" w:hAnsi="Times New Roman" w:eastAsia="宋体" w:cs="Times New Roman"/>
          <w:b/>
          <w:color w:val="auto"/>
          <w:sz w:val="24"/>
          <w:szCs w:val="24"/>
          <w:highlight w:val="none"/>
          <w:lang w:val="en-US" w:eastAsia="zh-CN"/>
        </w:rPr>
        <w:t>六、估价结果</w:t>
      </w:r>
      <w:bookmarkEnd w:id="42"/>
    </w:p>
    <w:p>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房地产估价师根据《房地产估价规范》、《房地产估价基本术语标准》等法规、技术标准和委托方提供的估价对象的相关资料，遵循房地产估价的必要原则和程序，在认真分析所掌握资料与影响估价对象价值诸因素的基础上，采用适宜方法进行评估，最终确定估价对象在价值时点的价值为：</w:t>
      </w:r>
    </w:p>
    <w:p>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市场价值：</w:t>
      </w:r>
      <w:r>
        <w:rPr>
          <w:rFonts w:hint="eastAsia" w:ascii="Times New Roman" w:hAnsi="Times New Roman" w:cs="Times New Roman"/>
          <w:b/>
          <w:bCs/>
          <w:sz w:val="24"/>
          <w:szCs w:val="24"/>
          <w:lang w:eastAsia="zh-CN"/>
        </w:rPr>
        <w:t xml:space="preserve">4,006,343.00 </w:t>
      </w:r>
      <w:r>
        <w:rPr>
          <w:rFonts w:hint="default" w:ascii="Times New Roman" w:hAnsi="Times New Roman" w:cs="Times New Roman"/>
          <w:b/>
          <w:bCs/>
          <w:sz w:val="24"/>
          <w:szCs w:val="24"/>
          <w:lang w:eastAsia="zh-CN"/>
        </w:rPr>
        <w:t>元</w:t>
      </w:r>
      <w:r>
        <w:rPr>
          <w:rFonts w:hint="default" w:ascii="Times New Roman" w:hAnsi="Times New Roman" w:cs="Times New Roman"/>
          <w:b/>
          <w:bCs/>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eastAsia="宋体" w:cs="Times New Roman"/>
          <w:b/>
          <w:bCs/>
          <w:sz w:val="24"/>
          <w:szCs w:val="24"/>
        </w:rPr>
        <w:t>大写</w:t>
      </w:r>
      <w:r>
        <w:rPr>
          <w:rFonts w:hint="default" w:ascii="Times New Roman" w:hAnsi="Times New Roman" w:cs="Times New Roman"/>
          <w:b/>
          <w:bCs/>
          <w:sz w:val="24"/>
          <w:szCs w:val="24"/>
          <w:lang w:eastAsia="zh-CN"/>
        </w:rPr>
        <w:t>（人民币）</w:t>
      </w:r>
      <w:r>
        <w:rPr>
          <w:rFonts w:hint="eastAsia" w:ascii="Times New Roman" w:hAnsi="Times New Roman" w:cs="Times New Roman"/>
          <w:b/>
          <w:bCs/>
          <w:sz w:val="24"/>
          <w:szCs w:val="24"/>
          <w:lang w:eastAsia="zh-CN"/>
        </w:rPr>
        <w:t>肆佰万陆仟叁佰肆拾叁</w:t>
      </w:r>
      <w:r>
        <w:rPr>
          <w:rFonts w:hint="default" w:ascii="Times New Roman" w:hAnsi="Times New Roman" w:cs="Times New Roman"/>
          <w:b/>
          <w:bCs/>
          <w:sz w:val="24"/>
          <w:szCs w:val="24"/>
          <w:lang w:eastAsia="zh-CN"/>
        </w:rPr>
        <w:t>元整</w:t>
      </w:r>
      <w:r>
        <w:rPr>
          <w:rFonts w:hint="default" w:ascii="Times New Roman" w:hAnsi="Times New Roman" w:eastAsia="宋体" w:cs="Times New Roman"/>
          <w:b/>
          <w:bCs/>
          <w:sz w:val="24"/>
          <w:szCs w:val="24"/>
        </w:rPr>
        <w:t>。</w:t>
      </w:r>
    </w:p>
    <w:p>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变现价值：</w:t>
      </w:r>
      <w:r>
        <w:rPr>
          <w:rFonts w:hint="eastAsia" w:ascii="Times New Roman" w:hAnsi="Times New Roman" w:cs="Times New Roman"/>
          <w:b/>
          <w:bCs/>
          <w:sz w:val="24"/>
          <w:szCs w:val="24"/>
          <w:lang w:eastAsia="zh-CN"/>
        </w:rPr>
        <w:t>2,804,440.00</w:t>
      </w:r>
      <w:r>
        <w:rPr>
          <w:rFonts w:hint="default" w:ascii="Times New Roman" w:hAnsi="Times New Roman" w:cs="Times New Roman"/>
          <w:b/>
          <w:bCs/>
          <w:sz w:val="24"/>
          <w:szCs w:val="24"/>
          <w:lang w:eastAsia="zh-CN"/>
        </w:rPr>
        <w:t>元；</w:t>
      </w:r>
    </w:p>
    <w:p>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both"/>
        <w:textAlignment w:val="auto"/>
        <w:rPr>
          <w:rFonts w:hint="default" w:ascii="Times New Roman" w:hAnsi="Times New Roman" w:cs="Times New Roman"/>
          <w:b/>
          <w:bCs/>
          <w:sz w:val="24"/>
          <w:szCs w:val="24"/>
          <w:lang w:eastAsia="zh-CN"/>
        </w:rPr>
      </w:pPr>
      <w:r>
        <w:rPr>
          <w:rFonts w:hint="default" w:ascii="Times New Roman" w:hAnsi="Times New Roman" w:eastAsia="宋体" w:cs="Times New Roman"/>
          <w:b/>
          <w:bCs/>
          <w:sz w:val="24"/>
          <w:szCs w:val="24"/>
        </w:rPr>
        <w:t>大写</w:t>
      </w:r>
      <w:r>
        <w:rPr>
          <w:rFonts w:hint="default" w:ascii="Times New Roman" w:hAnsi="Times New Roman" w:cs="Times New Roman"/>
          <w:b/>
          <w:bCs/>
          <w:sz w:val="24"/>
          <w:szCs w:val="24"/>
          <w:lang w:eastAsia="zh-CN"/>
        </w:rPr>
        <w:t>（人民币）</w:t>
      </w:r>
      <w:r>
        <w:rPr>
          <w:rFonts w:hint="default" w:ascii="Times New Roman" w:hAnsi="Times New Roman" w:eastAsia="宋体" w:cs="Times New Roman"/>
          <w:b/>
          <w:bCs/>
          <w:sz w:val="24"/>
          <w:szCs w:val="24"/>
        </w:rPr>
        <w:t>：</w:t>
      </w:r>
      <w:r>
        <w:rPr>
          <w:rFonts w:hint="eastAsia" w:ascii="Times New Roman" w:hAnsi="Times New Roman" w:cs="Times New Roman"/>
          <w:b/>
          <w:bCs/>
          <w:sz w:val="24"/>
          <w:szCs w:val="24"/>
          <w:lang w:eastAsia="zh-CN"/>
        </w:rPr>
        <w:t>贰佰捌拾万肆仟肆佰肆拾</w:t>
      </w:r>
      <w:r>
        <w:rPr>
          <w:rFonts w:hint="default" w:ascii="Times New Roman" w:hAnsi="Times New Roman" w:cs="Times New Roman"/>
          <w:b/>
          <w:bCs/>
          <w:sz w:val="24"/>
          <w:szCs w:val="24"/>
          <w:lang w:eastAsia="zh-CN"/>
        </w:rPr>
        <w:t>元整</w:t>
      </w:r>
      <w:r>
        <w:rPr>
          <w:rFonts w:hint="default" w:ascii="Times New Roman" w:hAnsi="Times New Roman" w:eastAsia="宋体" w:cs="Times New Roman"/>
          <w:b/>
          <w:bCs/>
          <w:sz w:val="24"/>
          <w:szCs w:val="24"/>
        </w:rPr>
        <w:t>。</w:t>
      </w:r>
    </w:p>
    <w:p>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估价结果详见《估价结果一览表》。</w:t>
      </w:r>
    </w:p>
    <w:p>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default" w:ascii="Times New Roman" w:hAnsi="Times New Roman" w:cs="Times New Roman"/>
          <w:b/>
          <w:bCs/>
          <w:sz w:val="24"/>
          <w:szCs w:val="24"/>
          <w:lang w:eastAsia="zh-CN"/>
        </w:rPr>
      </w:pPr>
    </w:p>
    <w:p>
      <w:pPr>
        <w:pStyle w:val="2"/>
        <w:rPr>
          <w:rFonts w:hint="default"/>
          <w:lang w:eastAsia="zh-CN"/>
        </w:rPr>
      </w:pPr>
    </w:p>
    <w:p>
      <w:pPr>
        <w:pStyle w:val="13"/>
        <w:rPr>
          <w:rFonts w:hint="default" w:ascii="Times New Roman" w:hAnsi="Times New Roman" w:cs="Times New Roman"/>
          <w:b/>
          <w:bCs/>
          <w:sz w:val="24"/>
          <w:szCs w:val="24"/>
          <w:lang w:eastAsia="zh-CN"/>
        </w:rPr>
      </w:pPr>
    </w:p>
    <w:p>
      <w:pPr>
        <w:spacing w:after="0" w:line="480" w:lineRule="exact"/>
        <w:ind w:right="395" w:firstLine="3960" w:firstLineChars="1650"/>
        <w:rPr>
          <w:rFonts w:hint="default" w:ascii="Times New Roman" w:hAnsi="Times New Roman" w:eastAsia="宋体" w:cs="Times New Roman"/>
          <w:sz w:val="24"/>
          <w:szCs w:val="24"/>
        </w:rPr>
      </w:pPr>
    </w:p>
    <w:p>
      <w:pPr>
        <w:spacing w:after="0" w:line="480" w:lineRule="exact"/>
        <w:ind w:right="395" w:firstLine="3960" w:firstLineChars="16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山东舜华房地产评估造价咨询有限公司</w:t>
      </w:r>
    </w:p>
    <w:p>
      <w:pPr>
        <w:spacing w:after="0" w:line="480" w:lineRule="exact"/>
        <w:ind w:right="3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二○二二年十月十三</w:t>
      </w:r>
      <w:r>
        <w:rPr>
          <w:rFonts w:hint="default" w:ascii="Times New Roman" w:hAnsi="Times New Roman" w:cs="Times New Roman"/>
          <w:sz w:val="24"/>
          <w:szCs w:val="24"/>
          <w:lang w:eastAsia="zh-CN"/>
        </w:rPr>
        <w:t>日</w:t>
      </w:r>
      <w:r>
        <w:rPr>
          <w:rFonts w:hint="default" w:ascii="Times New Roman" w:hAnsi="Times New Roman" w:eastAsia="宋体" w:cs="Times New Roman"/>
          <w:sz w:val="24"/>
          <w:szCs w:val="24"/>
        </w:rPr>
        <w:t xml:space="preserve"> </w:t>
      </w: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rPr>
      </w:pPr>
    </w:p>
    <w:p>
      <w:pPr>
        <w:pStyle w:val="2"/>
        <w:rPr>
          <w:rFonts w:hint="default" w:ascii="Times New Roman" w:hAnsi="Times New Roman" w:eastAsia="宋体" w:cs="Times New Roman"/>
          <w:sz w:val="24"/>
          <w:szCs w:val="24"/>
        </w:rPr>
      </w:pPr>
    </w:p>
    <w:p>
      <w:pPr>
        <w:pStyle w:val="13"/>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0"/>
        <w:rPr>
          <w:rFonts w:hint="default" w:ascii="Times New Roman" w:hAnsi="Times New Roman" w:eastAsia="宋体" w:cs="Times New Roman"/>
          <w:b/>
          <w:bCs/>
          <w:sz w:val="32"/>
          <w:szCs w:val="32"/>
          <w:highlight w:val="none"/>
        </w:rPr>
      </w:pPr>
      <w:bookmarkStart w:id="43" w:name="_Toc12001"/>
      <w:r>
        <w:rPr>
          <w:rFonts w:hint="default" w:ascii="Times New Roman" w:hAnsi="Times New Roman" w:eastAsia="宋体" w:cs="Times New Roman"/>
          <w:b/>
          <w:bCs/>
          <w:sz w:val="32"/>
          <w:szCs w:val="32"/>
          <w:highlight w:val="none"/>
        </w:rPr>
        <w:t>附</w:t>
      </w:r>
      <w:r>
        <w:rPr>
          <w:rFonts w:hint="default" w:ascii="Times New Roman" w:hAnsi="Times New Roman" w:eastAsia="宋体" w:cs="Times New Roman"/>
          <w:b/>
          <w:bCs/>
          <w:sz w:val="32"/>
          <w:szCs w:val="32"/>
          <w:highlight w:val="none"/>
          <w:lang w:val="en-US" w:eastAsia="zh-CN"/>
        </w:rPr>
        <w:t xml:space="preserve"> </w:t>
      </w:r>
      <w:r>
        <w:rPr>
          <w:rFonts w:hint="default" w:ascii="Times New Roman" w:hAnsi="Times New Roman" w:eastAsia="宋体" w:cs="Times New Roman"/>
          <w:b/>
          <w:bCs/>
          <w:sz w:val="32"/>
          <w:szCs w:val="32"/>
          <w:highlight w:val="none"/>
        </w:rPr>
        <w:t>件</w:t>
      </w:r>
      <w:bookmarkEnd w:id="43"/>
    </w:p>
    <w:p>
      <w:pPr>
        <w:rPr>
          <w:rFonts w:hint="default" w:ascii="Times New Roman" w:hAnsi="Times New Roman" w:eastAsia="宋体" w:cs="Times New Roman"/>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200"/>
        <w:textAlignment w:val="auto"/>
        <w:rPr>
          <w:rStyle w:val="88"/>
          <w:rFonts w:hint="default" w:ascii="Times New Roman" w:hAnsi="Times New Roman" w:eastAsia="宋体" w:cs="Times New Roman"/>
          <w:sz w:val="24"/>
          <w:szCs w:val="24"/>
        </w:rPr>
      </w:pPr>
      <w:bookmarkStart w:id="44" w:name="_Toc483318495"/>
      <w:bookmarkStart w:id="45" w:name="_Toc7761"/>
      <w:bookmarkStart w:id="46" w:name="_Toc1047"/>
      <w:r>
        <w:rPr>
          <w:rStyle w:val="88"/>
          <w:rFonts w:hint="default" w:ascii="Times New Roman" w:hAnsi="Times New Roman" w:eastAsia="宋体" w:cs="Times New Roman"/>
          <w:sz w:val="24"/>
          <w:szCs w:val="24"/>
        </w:rPr>
        <w:fldChar w:fldCharType="begin"/>
      </w:r>
      <w:r>
        <w:rPr>
          <w:rStyle w:val="88"/>
          <w:rFonts w:hint="default" w:ascii="Times New Roman" w:hAnsi="Times New Roman" w:eastAsia="宋体" w:cs="Times New Roman"/>
          <w:sz w:val="24"/>
          <w:szCs w:val="24"/>
        </w:rPr>
        <w:instrText xml:space="preserve"> = 1 \* Arabic \* MERGEFORMAT </w:instrText>
      </w:r>
      <w:r>
        <w:rPr>
          <w:rStyle w:val="88"/>
          <w:rFonts w:hint="default" w:ascii="Times New Roman" w:hAnsi="Times New Roman" w:eastAsia="宋体" w:cs="Times New Roman"/>
          <w:sz w:val="24"/>
          <w:szCs w:val="24"/>
        </w:rPr>
        <w:fldChar w:fldCharType="separate"/>
      </w:r>
      <w:r>
        <w:rPr>
          <w:rFonts w:hint="default" w:ascii="Times New Roman" w:hAnsi="Times New Roman" w:cs="Times New Roman"/>
        </w:rPr>
        <w:t>1</w:t>
      </w:r>
      <w:r>
        <w:rPr>
          <w:rStyle w:val="88"/>
          <w:rFonts w:hint="default" w:ascii="Times New Roman" w:hAnsi="Times New Roman" w:eastAsia="宋体" w:cs="Times New Roman"/>
          <w:sz w:val="24"/>
          <w:szCs w:val="24"/>
        </w:rPr>
        <w:fldChar w:fldCharType="end"/>
      </w:r>
      <w:r>
        <w:rPr>
          <w:rStyle w:val="88"/>
          <w:rFonts w:hint="default" w:ascii="Times New Roman" w:hAnsi="Times New Roman" w:eastAsia="宋体" w:cs="Times New Roman"/>
          <w:sz w:val="24"/>
          <w:szCs w:val="24"/>
          <w:lang w:eastAsia="zh-CN"/>
        </w:rPr>
        <w:t>、</w:t>
      </w:r>
      <w:r>
        <w:rPr>
          <w:rStyle w:val="88"/>
          <w:rFonts w:hint="default" w:ascii="Times New Roman" w:hAnsi="Times New Roman" w:eastAsia="宋体" w:cs="Times New Roman"/>
          <w:sz w:val="24"/>
          <w:szCs w:val="24"/>
        </w:rPr>
        <w:t>估价对象权属资料、委托方提供的资料</w:t>
      </w:r>
      <w:bookmarkEnd w:id="44"/>
      <w:r>
        <w:rPr>
          <w:rStyle w:val="88"/>
          <w:rFonts w:hint="default" w:ascii="Times New Roman" w:hAnsi="Times New Roman" w:eastAsia="宋体" w:cs="Times New Roman"/>
          <w:sz w:val="24"/>
          <w:szCs w:val="24"/>
        </w:rPr>
        <w:t>；</w:t>
      </w:r>
    </w:p>
    <w:bookmarkEnd w:id="45"/>
    <w:bookmarkEnd w:id="46"/>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200"/>
        <w:textAlignment w:val="auto"/>
        <w:rPr>
          <w:rStyle w:val="88"/>
          <w:rFonts w:hint="default" w:ascii="Times New Roman" w:hAnsi="Times New Roman" w:eastAsia="宋体" w:cs="Times New Roman"/>
          <w:sz w:val="24"/>
          <w:szCs w:val="24"/>
        </w:rPr>
      </w:pPr>
      <w:bookmarkStart w:id="47" w:name="_Toc476068537"/>
      <w:bookmarkStart w:id="48" w:name="_Toc483318496"/>
      <w:bookmarkStart w:id="49" w:name="_Toc16976"/>
      <w:bookmarkStart w:id="50" w:name="_Toc6772"/>
      <w:bookmarkStart w:id="51" w:name="_Toc7206"/>
      <w:bookmarkStart w:id="52" w:name="_Toc4514"/>
      <w:r>
        <w:rPr>
          <w:rStyle w:val="88"/>
          <w:rFonts w:hint="default" w:ascii="Times New Roman" w:hAnsi="Times New Roman" w:eastAsia="宋体" w:cs="Times New Roman"/>
          <w:sz w:val="24"/>
          <w:szCs w:val="24"/>
          <w:lang w:val="en-US" w:eastAsia="zh-CN"/>
        </w:rPr>
        <w:t>2、</w:t>
      </w:r>
      <w:r>
        <w:rPr>
          <w:rStyle w:val="88"/>
          <w:rFonts w:hint="default" w:ascii="Times New Roman" w:hAnsi="Times New Roman" w:eastAsia="宋体" w:cs="Times New Roman"/>
          <w:sz w:val="24"/>
          <w:szCs w:val="24"/>
        </w:rPr>
        <w:t>现场照片及位置示意图</w:t>
      </w:r>
      <w:bookmarkEnd w:id="47"/>
      <w:bookmarkEnd w:id="48"/>
      <w:bookmarkEnd w:id="49"/>
      <w:r>
        <w:rPr>
          <w:rStyle w:val="88"/>
          <w:rFonts w:hint="default" w:ascii="Times New Roman" w:hAnsi="Times New Roman" w:eastAsia="宋体" w:cs="Times New Roman"/>
          <w:sz w:val="24"/>
          <w:szCs w:val="24"/>
        </w:rPr>
        <w:t>；</w:t>
      </w:r>
    </w:p>
    <w:bookmarkEnd w:id="50"/>
    <w:bookmarkEnd w:id="51"/>
    <w:bookmarkEnd w:id="52"/>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200"/>
        <w:textAlignment w:val="auto"/>
        <w:rPr>
          <w:rFonts w:hint="default" w:ascii="Times New Roman" w:hAnsi="Times New Roman" w:eastAsia="宋体" w:cs="Times New Roman"/>
          <w:sz w:val="24"/>
          <w:szCs w:val="24"/>
        </w:rPr>
      </w:pPr>
      <w:bookmarkStart w:id="53" w:name="_Toc921"/>
      <w:bookmarkStart w:id="54" w:name="_Toc476068538"/>
      <w:bookmarkStart w:id="55" w:name="_Toc7848"/>
      <w:bookmarkStart w:id="56" w:name="_Toc483318497"/>
      <w:bookmarkStart w:id="57" w:name="_Toc13777"/>
      <w:r>
        <w:rPr>
          <w:rStyle w:val="88"/>
          <w:rFonts w:hint="default" w:ascii="Times New Roman" w:hAnsi="Times New Roman" w:eastAsia="宋体" w:cs="Times New Roman"/>
          <w:sz w:val="24"/>
          <w:szCs w:val="24"/>
          <w:lang w:val="en-US" w:eastAsia="zh-CN"/>
        </w:rPr>
        <w:t>3、</w:t>
      </w:r>
      <w:r>
        <w:rPr>
          <w:rStyle w:val="88"/>
          <w:rFonts w:hint="default" w:ascii="Times New Roman" w:hAnsi="Times New Roman" w:eastAsia="宋体" w:cs="Times New Roman"/>
          <w:sz w:val="24"/>
          <w:szCs w:val="24"/>
        </w:rPr>
        <w:t>房地产估价机构资格证书（复印件）</w:t>
      </w:r>
      <w:bookmarkEnd w:id="53"/>
      <w:bookmarkEnd w:id="54"/>
      <w:bookmarkEnd w:id="55"/>
      <w:bookmarkEnd w:id="56"/>
      <w:bookmarkEnd w:id="57"/>
      <w:r>
        <w:rPr>
          <w:rFonts w:hint="default" w:ascii="Times New Roman" w:hAnsi="Times New Roman" w:eastAsia="宋体" w:cs="Times New Roman"/>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200"/>
        <w:textAlignment w:val="auto"/>
        <w:rPr>
          <w:rFonts w:hint="default" w:ascii="Times New Roman" w:hAnsi="Times New Roman" w:eastAsia="宋体" w:cs="Times New Roman"/>
          <w:sz w:val="24"/>
          <w:szCs w:val="24"/>
        </w:rPr>
      </w:pPr>
      <w:bookmarkStart w:id="58" w:name="_Toc483318498"/>
      <w:bookmarkStart w:id="59" w:name="_Toc2172"/>
      <w:bookmarkStart w:id="60" w:name="_Toc476068539"/>
      <w:bookmarkStart w:id="61" w:name="_Toc5542"/>
      <w:bookmarkStart w:id="62" w:name="_Toc15195"/>
      <w:r>
        <w:rPr>
          <w:rStyle w:val="88"/>
          <w:rFonts w:hint="default" w:ascii="Times New Roman" w:hAnsi="Times New Roman" w:eastAsia="宋体" w:cs="Times New Roman"/>
          <w:sz w:val="24"/>
          <w:szCs w:val="24"/>
          <w:lang w:val="en-US" w:eastAsia="zh-CN"/>
        </w:rPr>
        <w:t>4、</w:t>
      </w:r>
      <w:r>
        <w:rPr>
          <w:rStyle w:val="88"/>
          <w:rFonts w:hint="default" w:ascii="Times New Roman" w:hAnsi="Times New Roman" w:eastAsia="宋体" w:cs="Times New Roman"/>
          <w:sz w:val="24"/>
          <w:szCs w:val="24"/>
        </w:rPr>
        <w:t>注册房地产估价师营业执照（复印件）；</w:t>
      </w:r>
      <w:bookmarkEnd w:id="58"/>
      <w:bookmarkEnd w:id="59"/>
      <w:bookmarkEnd w:id="60"/>
      <w:bookmarkEnd w:id="61"/>
      <w:bookmarkEnd w:id="62"/>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200"/>
        <w:textAlignment w:val="auto"/>
        <w:rPr>
          <w:rFonts w:hint="default" w:ascii="Times New Roman" w:hAnsi="Times New Roman" w:eastAsia="宋体" w:cs="Times New Roman"/>
          <w:sz w:val="24"/>
          <w:szCs w:val="24"/>
        </w:rPr>
      </w:pPr>
      <w:bookmarkStart w:id="63" w:name="_Toc13548"/>
      <w:bookmarkStart w:id="64" w:name="_Toc483318499"/>
      <w:bookmarkStart w:id="65" w:name="_Toc4820"/>
      <w:bookmarkStart w:id="66" w:name="_Toc7564"/>
      <w:bookmarkStart w:id="67" w:name="_Toc476068540"/>
      <w:r>
        <w:rPr>
          <w:rStyle w:val="88"/>
          <w:rFonts w:hint="default" w:ascii="Times New Roman" w:hAnsi="Times New Roman" w:eastAsia="宋体" w:cs="Times New Roman"/>
          <w:sz w:val="24"/>
          <w:szCs w:val="24"/>
          <w:lang w:val="en-US" w:eastAsia="zh-CN"/>
        </w:rPr>
        <w:t>5、</w:t>
      </w:r>
      <w:r>
        <w:rPr>
          <w:rStyle w:val="88"/>
          <w:rFonts w:hint="default" w:ascii="Times New Roman" w:hAnsi="Times New Roman" w:eastAsia="宋体" w:cs="Times New Roman"/>
          <w:sz w:val="24"/>
          <w:szCs w:val="24"/>
        </w:rPr>
        <w:t>注册房地产估价师资格证书（复印件）</w:t>
      </w:r>
      <w:bookmarkEnd w:id="63"/>
      <w:bookmarkEnd w:id="64"/>
      <w:bookmarkEnd w:id="65"/>
      <w:bookmarkEnd w:id="66"/>
      <w:bookmarkEnd w:id="67"/>
      <w:r>
        <w:rPr>
          <w:rFonts w:hint="default" w:ascii="Times New Roman" w:hAnsi="Times New Roman" w:eastAsia="宋体" w:cs="Times New Roman"/>
          <w:sz w:val="24"/>
          <w:szCs w:val="24"/>
        </w:rPr>
        <w:t>。</w:t>
      </w:r>
    </w:p>
    <w:p>
      <w:pPr>
        <w:spacing w:line="440" w:lineRule="exact"/>
        <w:ind w:right="1680"/>
        <w:rPr>
          <w:rFonts w:hint="default" w:ascii="Times New Roman" w:hAnsi="Times New Roman" w:eastAsia="宋体" w:cs="Times New Roman"/>
          <w:color w:val="000000"/>
          <w:sz w:val="28"/>
          <w:szCs w:val="28"/>
        </w:rPr>
      </w:pPr>
    </w:p>
    <w:p>
      <w:pPr>
        <w:ind w:firstLine="420" w:firstLineChars="150"/>
        <w:rPr>
          <w:rFonts w:hint="default" w:ascii="Times New Roman" w:hAnsi="Times New Roman" w:eastAsia="宋体" w:cs="Times New Roman"/>
          <w:sz w:val="28"/>
          <w:szCs w:val="28"/>
        </w:rPr>
      </w:pPr>
    </w:p>
    <w:p>
      <w:pPr>
        <w:ind w:firstLine="420" w:firstLineChars="150"/>
        <w:rPr>
          <w:rFonts w:hint="default" w:ascii="Times New Roman" w:hAnsi="Times New Roman" w:eastAsia="宋体" w:cs="Times New Roman"/>
          <w:sz w:val="28"/>
          <w:szCs w:val="28"/>
        </w:rPr>
      </w:pPr>
    </w:p>
    <w:p>
      <w:pPr>
        <w:ind w:firstLine="420" w:firstLineChars="150"/>
        <w:rPr>
          <w:rFonts w:hint="default" w:ascii="Times New Roman" w:hAnsi="Times New Roman" w:eastAsia="宋体" w:cs="Times New Roman"/>
          <w:sz w:val="28"/>
          <w:szCs w:val="28"/>
        </w:rPr>
      </w:pPr>
    </w:p>
    <w:p>
      <w:pPr>
        <w:ind w:firstLine="420" w:firstLineChars="150"/>
        <w:rPr>
          <w:rFonts w:hint="default" w:ascii="Times New Roman" w:hAnsi="Times New Roman" w:eastAsia="宋体" w:cs="Times New Roman"/>
          <w:sz w:val="28"/>
          <w:szCs w:val="28"/>
        </w:rPr>
      </w:pPr>
    </w:p>
    <w:sectPr>
      <w:footerReference r:id="rId11" w:type="default"/>
      <w:pgSz w:w="11906" w:h="16838"/>
      <w:pgMar w:top="1191" w:right="1474" w:bottom="1134" w:left="1474" w:header="851" w:footer="850" w:gutter="0"/>
      <w:pgBorders>
        <w:top w:val="none" w:sz="0" w:space="0"/>
        <w:left w:val="none" w:sz="0" w:space="0"/>
        <w:bottom w:val="none" w:sz="0" w:space="0"/>
        <w:right w:val="none" w:sz="0" w:space="0"/>
      </w:pgBorders>
      <w:pgNumType w:start="1"/>
      <w:cols w:space="0" w:num="1"/>
      <w:rtlGutter w:val="0"/>
      <w:docGrid w:type="lines" w:linePitch="2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Narrow">
    <w:altName w:val="Arial"/>
    <w:panose1 w:val="020B0506020202030204"/>
    <w:charset w:val="00"/>
    <w:family w:val="swiss"/>
    <w:pitch w:val="default"/>
    <w:sig w:usb0="00000000" w:usb1="00000000" w:usb2="00000000" w:usb3="00000000" w:csb0="2000009F" w:csb1="DFD70000"/>
  </w:font>
  <w:font w:name="昆仑楷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04190" cy="278130"/>
              <wp:effectExtent l="0" t="0" r="0" b="0"/>
              <wp:wrapNone/>
              <wp:docPr id="4097" name="文本框 25"/>
              <wp:cNvGraphicFramePr/>
              <a:graphic xmlns:a="http://schemas.openxmlformats.org/drawingml/2006/main">
                <a:graphicData uri="http://schemas.microsoft.com/office/word/2010/wordprocessingShape">
                  <wps:wsp>
                    <wps:cNvSpPr/>
                    <wps:spPr>
                      <a:xfrm>
                        <a:off x="0" y="0"/>
                        <a:ext cx="504189" cy="278130"/>
                      </a:xfrm>
                      <a:prstGeom prst="rect">
                        <a:avLst/>
                      </a:prstGeom>
                      <a:ln>
                        <a:noFill/>
                      </a:ln>
                    </wps:spPr>
                    <wps:txbx>
                      <w:txbxContent>
                        <w:p>
                          <w:pPr>
                            <w:pStyle w:val="25"/>
                            <w:jc w:val="center"/>
                          </w:pPr>
                          <w:r>
                            <w:rPr>
                              <w:rFonts w:hint="eastAsia"/>
                            </w:rPr>
                            <w:t>第</w:t>
                          </w:r>
                          <w:r>
                            <w:fldChar w:fldCharType="begin"/>
                          </w:r>
                          <w:r>
                            <w:instrText xml:space="preserve"> PAGE </w:instrText>
                          </w:r>
                          <w:r>
                            <w:fldChar w:fldCharType="separate"/>
                          </w:r>
                          <w:r>
                            <w:t>20</w:t>
                          </w:r>
                          <w:r>
                            <w:fldChar w:fldCharType="end"/>
                          </w:r>
                          <w:r>
                            <w:rPr>
                              <w:rFonts w:hint="eastAsia"/>
                            </w:rPr>
                            <w:t>页</w:t>
                          </w:r>
                        </w:p>
                      </w:txbxContent>
                    </wps:txbx>
                    <wps:bodyPr vert="horz" lIns="0" tIns="0" rIns="0" bIns="0" anchor="t" upright="1"/>
                  </wps:wsp>
                </a:graphicData>
              </a:graphic>
            </wp:anchor>
          </w:drawing>
        </mc:Choice>
        <mc:Fallback>
          <w:pict>
            <v:rect id="文本框 25" o:spid="_x0000_s1026" o:spt="1" style="position:absolute;left:0pt;margin-top:0pt;height:21.9pt;width:39.7pt;mso-position-horizontal:center;mso-position-horizontal-relative:margin;z-index:251659264;mso-width-relative:page;mso-height-relative:page;" filled="f" stroked="f" coordsize="21600,21600" o:gfxdata="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OAsnWAAAAAwEAAA8AAAAAAAAAAQAgAAAAIgAAAGRycy9kb3ducmV2&#10;LnhtbFBLAQIUABQAAAAIAIdO4kDkKDYXxQEAAHcDAAAOAAAAAAAAAAEAIAAAACUBAABkcnMvZTJv&#10;RG9jLnhtbFBLBQYAAAAABgAGAFkBAABcBQAAAAA=&#10;">
              <v:fill on="f" focussize="0,0"/>
              <v:stroke on="f"/>
              <v:imagedata o:title=""/>
              <o:lock v:ext="edit" aspectratio="f"/>
              <v:textbox inset="0mm,0mm,0mm,0mm">
                <w:txbxContent>
                  <w:p>
                    <w:pPr>
                      <w:pStyle w:val="25"/>
                      <w:jc w:val="center"/>
                    </w:pPr>
                    <w:r>
                      <w:rPr>
                        <w:rFonts w:hint="eastAsia"/>
                      </w:rPr>
                      <w:t>第</w:t>
                    </w:r>
                    <w:r>
                      <w:fldChar w:fldCharType="begin"/>
                    </w:r>
                    <w:r>
                      <w:instrText xml:space="preserve"> PAGE </w:instrText>
                    </w:r>
                    <w:r>
                      <w:fldChar w:fldCharType="separate"/>
                    </w:r>
                    <w:r>
                      <w:t>20</w:t>
                    </w:r>
                    <w:r>
                      <w:fldChar w:fldCharType="end"/>
                    </w:r>
                    <w:r>
                      <w:rPr>
                        <w:rFonts w:hint="eastAsia"/>
                      </w:rPr>
                      <w:t>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04190" cy="278130"/>
              <wp:effectExtent l="0" t="0" r="0" b="0"/>
              <wp:wrapNone/>
              <wp:docPr id="4098" name="文本框 25"/>
              <wp:cNvGraphicFramePr/>
              <a:graphic xmlns:a="http://schemas.openxmlformats.org/drawingml/2006/main">
                <a:graphicData uri="http://schemas.microsoft.com/office/word/2010/wordprocessingShape">
                  <wps:wsp>
                    <wps:cNvSpPr/>
                    <wps:spPr>
                      <a:xfrm>
                        <a:off x="0" y="0"/>
                        <a:ext cx="504189" cy="278130"/>
                      </a:xfrm>
                      <a:prstGeom prst="rect">
                        <a:avLst/>
                      </a:prstGeom>
                      <a:ln>
                        <a:noFill/>
                      </a:ln>
                    </wps:spPr>
                    <wps:txbx>
                      <w:txbxContent>
                        <w:p>
                          <w:pPr>
                            <w:pStyle w:val="25"/>
                            <w:jc w:val="center"/>
                          </w:pPr>
                          <w:r>
                            <w:rPr>
                              <w:rFonts w:hint="eastAsia"/>
                            </w:rPr>
                            <w:t>第</w:t>
                          </w:r>
                          <w:r>
                            <w:fldChar w:fldCharType="begin"/>
                          </w:r>
                          <w:r>
                            <w:instrText xml:space="preserve"> PAGE </w:instrText>
                          </w:r>
                          <w:r>
                            <w:fldChar w:fldCharType="separate"/>
                          </w:r>
                          <w:r>
                            <w:t>20</w:t>
                          </w:r>
                          <w:r>
                            <w:fldChar w:fldCharType="end"/>
                          </w:r>
                          <w:r>
                            <w:rPr>
                              <w:rFonts w:hint="eastAsia"/>
                            </w:rPr>
                            <w:t>页</w:t>
                          </w:r>
                        </w:p>
                      </w:txbxContent>
                    </wps:txbx>
                    <wps:bodyPr vert="horz" lIns="0" tIns="0" rIns="0" bIns="0" anchor="t" upright="1"/>
                  </wps:wsp>
                </a:graphicData>
              </a:graphic>
            </wp:anchor>
          </w:drawing>
        </mc:Choice>
        <mc:Fallback>
          <w:pict>
            <v:rect id="文本框 25" o:spid="_x0000_s1026" o:spt="1" style="position:absolute;left:0pt;margin-top:0pt;height:21.9pt;width:39.7pt;mso-position-horizontal:center;mso-position-horizontal-relative:margin;z-index:251659264;mso-width-relative:page;mso-height-relative:page;" filled="f" stroked="f" coordsize="21600,21600" o:gfxdata="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OAsnWAAAAAwEAAA8AAAAAAAAAAQAgAAAAIgAAAGRycy9kb3ducmV2&#10;LnhtbFBLAQIUABQAAAAIAIdO4kDi3MK1xQEAAHcDAAAOAAAAAAAAAAEAIAAAACUBAABkcnMvZTJv&#10;RG9jLnhtbFBLBQYAAAAABgAGAFkBAABcBQAAAAA=&#10;">
              <v:fill on="f" focussize="0,0"/>
              <v:stroke on="f"/>
              <v:imagedata o:title=""/>
              <o:lock v:ext="edit" aspectratio="f"/>
              <v:textbox inset="0mm,0mm,0mm,0mm">
                <w:txbxContent>
                  <w:p>
                    <w:pPr>
                      <w:pStyle w:val="25"/>
                      <w:jc w:val="center"/>
                    </w:pPr>
                    <w:r>
                      <w:rPr>
                        <w:rFonts w:hint="eastAsia"/>
                      </w:rPr>
                      <w:t>第</w:t>
                    </w:r>
                    <w:r>
                      <w:fldChar w:fldCharType="begin"/>
                    </w:r>
                    <w:r>
                      <w:instrText xml:space="preserve"> PAGE </w:instrText>
                    </w:r>
                    <w:r>
                      <w:fldChar w:fldCharType="separate"/>
                    </w:r>
                    <w:r>
                      <w:t>20</w:t>
                    </w:r>
                    <w:r>
                      <w:fldChar w:fldCharType="end"/>
                    </w:r>
                    <w:r>
                      <w:rPr>
                        <w:rFonts w:hint="eastAsia"/>
                      </w:rPr>
                      <w:t>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rPr>
        <w:rFonts w:ascii="仿宋" w:hAnsi="仿宋" w:eastAsia="仿宋"/>
      </w:rPr>
    </w:pPr>
    <w:r>
      <w:rPr>
        <w:rFonts w:hint="eastAsia" w:ascii="仿宋" w:hAnsi="仿宋" w:eastAsia="仿宋"/>
        <w:szCs w:val="21"/>
      </w:rPr>
      <w:t>山东舜华房地产评估造价咨询有限公司                                              房地产</w:t>
    </w:r>
    <w:r>
      <w:rPr>
        <w:rFonts w:hint="eastAsia" w:ascii="仿宋" w:hAnsi="仿宋" w:eastAsia="仿宋"/>
        <w:szCs w:val="21"/>
        <w:lang w:eastAsia="zh-CN"/>
      </w:rPr>
      <w:t>估价</w:t>
    </w:r>
    <w:r>
      <w:rPr>
        <w:rFonts w:hint="eastAsia" w:ascii="仿宋" w:hAnsi="仿宋" w:eastAsia="仿宋"/>
        <w:szCs w:val="21"/>
      </w:rPr>
      <w:t>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rPr>
        <w:rFonts w:ascii="仿宋" w:hAnsi="仿宋" w:eastAsia="仿宋"/>
      </w:rPr>
    </w:pPr>
    <w:r>
      <w:rPr>
        <w:rFonts w:hint="eastAsia" w:ascii="仿宋" w:hAnsi="仿宋" w:eastAsia="仿宋"/>
        <w:szCs w:val="21"/>
      </w:rPr>
      <w:t>山东舜华房地产评估造价咨询有限公司                                              房地产</w:t>
    </w:r>
    <w:r>
      <w:rPr>
        <w:rFonts w:hint="eastAsia" w:ascii="仿宋" w:hAnsi="仿宋" w:eastAsia="仿宋"/>
        <w:szCs w:val="21"/>
        <w:lang w:eastAsia="zh-CN"/>
      </w:rPr>
      <w:t>估价</w:t>
    </w:r>
    <w:r>
      <w:rPr>
        <w:rFonts w:hint="eastAsia" w:ascii="仿宋" w:hAnsi="仿宋" w:eastAsia="仿宋"/>
        <w:szCs w:val="21"/>
      </w:rPr>
      <w:t>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DADD0"/>
    <w:multiLevelType w:val="singleLevel"/>
    <w:tmpl w:val="89DDADD0"/>
    <w:lvl w:ilvl="0" w:tentative="0">
      <w:start w:val="1"/>
      <w:numFmt w:val="decimal"/>
      <w:lvlText w:val="(%1)"/>
      <w:lvlJc w:val="left"/>
      <w:pPr>
        <w:ind w:left="425" w:hanging="425"/>
      </w:pPr>
      <w:rPr>
        <w:rFonts w:hint="default"/>
      </w:rPr>
    </w:lvl>
  </w:abstractNum>
  <w:abstractNum w:abstractNumId="1">
    <w:nsid w:val="9541F5BF"/>
    <w:multiLevelType w:val="singleLevel"/>
    <w:tmpl w:val="9541F5BF"/>
    <w:lvl w:ilvl="0" w:tentative="0">
      <w:start w:val="1"/>
      <w:numFmt w:val="decimal"/>
      <w:lvlText w:val="(%1)"/>
      <w:lvlJc w:val="left"/>
      <w:pPr>
        <w:ind w:left="425" w:hanging="425"/>
      </w:pPr>
      <w:rPr>
        <w:rFonts w:hint="default"/>
      </w:rPr>
    </w:lvl>
  </w:abstractNum>
  <w:abstractNum w:abstractNumId="2">
    <w:nsid w:val="AB77AD4A"/>
    <w:multiLevelType w:val="singleLevel"/>
    <w:tmpl w:val="AB77AD4A"/>
    <w:lvl w:ilvl="0" w:tentative="0">
      <w:start w:val="1"/>
      <w:numFmt w:val="decimal"/>
      <w:lvlText w:val="(%1)"/>
      <w:lvlJc w:val="left"/>
      <w:pPr>
        <w:ind w:left="425" w:hanging="425"/>
      </w:pPr>
      <w:rPr>
        <w:rFonts w:hint="default"/>
      </w:rPr>
    </w:lvl>
  </w:abstractNum>
  <w:abstractNum w:abstractNumId="3">
    <w:nsid w:val="B3951E20"/>
    <w:multiLevelType w:val="singleLevel"/>
    <w:tmpl w:val="B3951E20"/>
    <w:lvl w:ilvl="0" w:tentative="0">
      <w:start w:val="1"/>
      <w:numFmt w:val="decimal"/>
      <w:lvlText w:val="%1."/>
      <w:lvlJc w:val="left"/>
      <w:pPr>
        <w:ind w:left="425" w:hanging="425"/>
      </w:pPr>
      <w:rPr>
        <w:rFonts w:hint="default"/>
      </w:rPr>
    </w:lvl>
  </w:abstractNum>
  <w:abstractNum w:abstractNumId="4">
    <w:nsid w:val="B7849EEC"/>
    <w:multiLevelType w:val="singleLevel"/>
    <w:tmpl w:val="B7849EEC"/>
    <w:lvl w:ilvl="0" w:tentative="0">
      <w:start w:val="1"/>
      <w:numFmt w:val="decimalEnclosedCircleChinese"/>
      <w:suff w:val="nothing"/>
      <w:lvlText w:val="%1　"/>
      <w:lvlJc w:val="left"/>
      <w:pPr>
        <w:ind w:left="0" w:firstLine="400"/>
      </w:pPr>
      <w:rPr>
        <w:rFonts w:hint="eastAsia"/>
      </w:rPr>
    </w:lvl>
  </w:abstractNum>
  <w:abstractNum w:abstractNumId="5">
    <w:nsid w:val="BA78E622"/>
    <w:multiLevelType w:val="singleLevel"/>
    <w:tmpl w:val="BA78E622"/>
    <w:lvl w:ilvl="0" w:tentative="0">
      <w:start w:val="1"/>
      <w:numFmt w:val="decimal"/>
      <w:lvlText w:val="%1."/>
      <w:lvlJc w:val="left"/>
      <w:pPr>
        <w:ind w:left="425" w:hanging="425"/>
      </w:pPr>
      <w:rPr>
        <w:rFonts w:hint="default"/>
      </w:rPr>
    </w:lvl>
  </w:abstractNum>
  <w:abstractNum w:abstractNumId="6">
    <w:nsid w:val="C6E7EE36"/>
    <w:multiLevelType w:val="singleLevel"/>
    <w:tmpl w:val="C6E7EE36"/>
    <w:lvl w:ilvl="0" w:tentative="0">
      <w:start w:val="1"/>
      <w:numFmt w:val="decimal"/>
      <w:lvlText w:val="(%1)"/>
      <w:lvlJc w:val="left"/>
      <w:pPr>
        <w:ind w:left="425" w:hanging="425"/>
      </w:pPr>
      <w:rPr>
        <w:rFonts w:hint="default"/>
      </w:rPr>
    </w:lvl>
  </w:abstractNum>
  <w:abstractNum w:abstractNumId="7">
    <w:nsid w:val="DD636B65"/>
    <w:multiLevelType w:val="singleLevel"/>
    <w:tmpl w:val="DD636B65"/>
    <w:lvl w:ilvl="0" w:tentative="0">
      <w:start w:val="1"/>
      <w:numFmt w:val="decimal"/>
      <w:suff w:val="nothing"/>
      <w:lvlText w:val="%1．"/>
      <w:lvlJc w:val="left"/>
      <w:pPr>
        <w:ind w:left="0" w:firstLine="400"/>
      </w:pPr>
      <w:rPr>
        <w:rFonts w:hint="default"/>
      </w:rPr>
    </w:lvl>
  </w:abstractNum>
  <w:abstractNum w:abstractNumId="8">
    <w:nsid w:val="E36C740F"/>
    <w:multiLevelType w:val="singleLevel"/>
    <w:tmpl w:val="E36C740F"/>
    <w:lvl w:ilvl="0" w:tentative="0">
      <w:start w:val="1"/>
      <w:numFmt w:val="decimalEnclosedCircleChinese"/>
      <w:suff w:val="nothing"/>
      <w:lvlText w:val="%1　"/>
      <w:lvlJc w:val="left"/>
      <w:pPr>
        <w:ind w:left="0" w:firstLine="400"/>
      </w:pPr>
      <w:rPr>
        <w:rFonts w:hint="eastAsia"/>
      </w:rPr>
    </w:lvl>
  </w:abstractNum>
  <w:abstractNum w:abstractNumId="9">
    <w:nsid w:val="E93BA4BF"/>
    <w:multiLevelType w:val="singleLevel"/>
    <w:tmpl w:val="E93BA4BF"/>
    <w:lvl w:ilvl="0" w:tentative="0">
      <w:start w:val="1"/>
      <w:numFmt w:val="decimal"/>
      <w:lvlText w:val="%1."/>
      <w:lvlJc w:val="left"/>
      <w:pPr>
        <w:ind w:left="425" w:hanging="425"/>
      </w:pPr>
      <w:rPr>
        <w:rFonts w:hint="default"/>
      </w:rPr>
    </w:lvl>
  </w:abstractNum>
  <w:abstractNum w:abstractNumId="10">
    <w:nsid w:val="00000000"/>
    <w:multiLevelType w:val="singleLevel"/>
    <w:tmpl w:val="00000000"/>
    <w:lvl w:ilvl="0" w:tentative="0">
      <w:start w:val="3"/>
      <w:numFmt w:val="decimal"/>
      <w:suff w:val="nothing"/>
      <w:lvlText w:val="（%1）"/>
      <w:lvlJc w:val="left"/>
    </w:lvl>
  </w:abstractNum>
  <w:abstractNum w:abstractNumId="11">
    <w:nsid w:val="00000001"/>
    <w:multiLevelType w:val="singleLevel"/>
    <w:tmpl w:val="00000001"/>
    <w:lvl w:ilvl="0" w:tentative="0">
      <w:start w:val="12"/>
      <w:numFmt w:val="chineseCounting"/>
      <w:suff w:val="nothing"/>
      <w:lvlText w:val="%1、"/>
      <w:lvlJc w:val="left"/>
      <w:rPr>
        <w:rFonts w:hint="eastAsia"/>
      </w:rPr>
    </w:lvl>
  </w:abstractNum>
  <w:abstractNum w:abstractNumId="12">
    <w:nsid w:val="00000003"/>
    <w:multiLevelType w:val="singleLevel"/>
    <w:tmpl w:val="00000003"/>
    <w:lvl w:ilvl="0" w:tentative="0">
      <w:start w:val="5"/>
      <w:numFmt w:val="chineseCounting"/>
      <w:suff w:val="nothing"/>
      <w:lvlText w:val="%1、"/>
      <w:lvlJc w:val="left"/>
      <w:rPr>
        <w:rFonts w:hint="eastAsia"/>
      </w:rPr>
    </w:lvl>
  </w:abstractNum>
  <w:abstractNum w:abstractNumId="13">
    <w:nsid w:val="00000004"/>
    <w:multiLevelType w:val="singleLevel"/>
    <w:tmpl w:val="00000004"/>
    <w:lvl w:ilvl="0" w:tentative="0">
      <w:start w:val="1"/>
      <w:numFmt w:val="chineseCounting"/>
      <w:suff w:val="nothing"/>
      <w:lvlText w:val="（%1）"/>
      <w:lvlJc w:val="left"/>
      <w:rPr>
        <w:rFonts w:hint="eastAsia"/>
      </w:rPr>
    </w:lvl>
  </w:abstractNum>
  <w:abstractNum w:abstractNumId="14">
    <w:nsid w:val="00000005"/>
    <w:multiLevelType w:val="singleLevel"/>
    <w:tmpl w:val="00000005"/>
    <w:lvl w:ilvl="0" w:tentative="0">
      <w:start w:val="2"/>
      <w:numFmt w:val="chineseCounting"/>
      <w:suff w:val="nothing"/>
      <w:lvlText w:val="（%1）"/>
      <w:lvlJc w:val="left"/>
      <w:pPr>
        <w:ind w:left="79"/>
      </w:pPr>
      <w:rPr>
        <w:rFonts w:hint="eastAsia"/>
      </w:rPr>
    </w:lvl>
  </w:abstractNum>
  <w:abstractNum w:abstractNumId="15">
    <w:nsid w:val="0B207B4C"/>
    <w:multiLevelType w:val="singleLevel"/>
    <w:tmpl w:val="0B207B4C"/>
    <w:lvl w:ilvl="0" w:tentative="0">
      <w:start w:val="1"/>
      <w:numFmt w:val="decimal"/>
      <w:lvlText w:val="%1."/>
      <w:lvlJc w:val="left"/>
      <w:pPr>
        <w:ind w:left="425" w:hanging="425"/>
      </w:pPr>
      <w:rPr>
        <w:rFonts w:hint="default"/>
      </w:rPr>
    </w:lvl>
  </w:abstractNum>
  <w:abstractNum w:abstractNumId="16">
    <w:nsid w:val="12135291"/>
    <w:multiLevelType w:val="singleLevel"/>
    <w:tmpl w:val="12135291"/>
    <w:lvl w:ilvl="0" w:tentative="0">
      <w:start w:val="1"/>
      <w:numFmt w:val="chineseCounting"/>
      <w:suff w:val="nothing"/>
      <w:lvlText w:val="（%1）"/>
      <w:lvlJc w:val="left"/>
      <w:pPr>
        <w:ind w:left="0" w:firstLine="420"/>
      </w:pPr>
      <w:rPr>
        <w:rFonts w:hint="eastAsia"/>
      </w:rPr>
    </w:lvl>
  </w:abstractNum>
  <w:abstractNum w:abstractNumId="17">
    <w:nsid w:val="171308BE"/>
    <w:multiLevelType w:val="singleLevel"/>
    <w:tmpl w:val="171308BE"/>
    <w:lvl w:ilvl="0" w:tentative="0">
      <w:start w:val="1"/>
      <w:numFmt w:val="chineseCounting"/>
      <w:suff w:val="nothing"/>
      <w:lvlText w:val="（%1）"/>
      <w:lvlJc w:val="left"/>
      <w:pPr>
        <w:ind w:left="0" w:firstLine="420"/>
      </w:pPr>
      <w:rPr>
        <w:rFonts w:hint="eastAsia"/>
      </w:rPr>
    </w:lvl>
  </w:abstractNum>
  <w:abstractNum w:abstractNumId="18">
    <w:nsid w:val="2FA1E448"/>
    <w:multiLevelType w:val="singleLevel"/>
    <w:tmpl w:val="2FA1E448"/>
    <w:lvl w:ilvl="0" w:tentative="0">
      <w:start w:val="1"/>
      <w:numFmt w:val="decimal"/>
      <w:lvlText w:val="%1."/>
      <w:lvlJc w:val="left"/>
      <w:pPr>
        <w:ind w:left="425" w:hanging="425"/>
      </w:pPr>
      <w:rPr>
        <w:rFonts w:hint="default"/>
      </w:rPr>
    </w:lvl>
  </w:abstractNum>
  <w:abstractNum w:abstractNumId="19">
    <w:nsid w:val="314B43E1"/>
    <w:multiLevelType w:val="singleLevel"/>
    <w:tmpl w:val="314B43E1"/>
    <w:lvl w:ilvl="0" w:tentative="0">
      <w:start w:val="2"/>
      <w:numFmt w:val="decimal"/>
      <w:suff w:val="nothing"/>
      <w:lvlText w:val="（%1）"/>
      <w:lvlJc w:val="left"/>
      <w:pPr>
        <w:ind w:left="600" w:leftChars="0" w:firstLine="0" w:firstLineChars="0"/>
      </w:pPr>
    </w:lvl>
  </w:abstractNum>
  <w:abstractNum w:abstractNumId="20">
    <w:nsid w:val="33220BA8"/>
    <w:multiLevelType w:val="singleLevel"/>
    <w:tmpl w:val="33220BA8"/>
    <w:lvl w:ilvl="0" w:tentative="0">
      <w:start w:val="1"/>
      <w:numFmt w:val="decimal"/>
      <w:lvlText w:val="%1."/>
      <w:lvlJc w:val="left"/>
      <w:pPr>
        <w:tabs>
          <w:tab w:val="left" w:pos="312"/>
        </w:tabs>
      </w:pPr>
    </w:lvl>
  </w:abstractNum>
  <w:abstractNum w:abstractNumId="21">
    <w:nsid w:val="4510847A"/>
    <w:multiLevelType w:val="singleLevel"/>
    <w:tmpl w:val="4510847A"/>
    <w:lvl w:ilvl="0" w:tentative="0">
      <w:start w:val="1"/>
      <w:numFmt w:val="chineseCounting"/>
      <w:suff w:val="nothing"/>
      <w:lvlText w:val="（%1）"/>
      <w:lvlJc w:val="left"/>
      <w:rPr>
        <w:rFonts w:hint="eastAsia"/>
      </w:rPr>
    </w:lvl>
  </w:abstractNum>
  <w:abstractNum w:abstractNumId="22">
    <w:nsid w:val="561DDA2C"/>
    <w:multiLevelType w:val="singleLevel"/>
    <w:tmpl w:val="561DDA2C"/>
    <w:lvl w:ilvl="0" w:tentative="0">
      <w:start w:val="1"/>
      <w:numFmt w:val="decimal"/>
      <w:suff w:val="nothing"/>
      <w:lvlText w:val="%1．"/>
      <w:lvlJc w:val="left"/>
      <w:pPr>
        <w:ind w:left="0" w:firstLine="400"/>
      </w:pPr>
      <w:rPr>
        <w:rFonts w:hint="default"/>
      </w:rPr>
    </w:lvl>
  </w:abstractNum>
  <w:abstractNum w:abstractNumId="23">
    <w:nsid w:val="5BD7DD25"/>
    <w:multiLevelType w:val="singleLevel"/>
    <w:tmpl w:val="5BD7DD25"/>
    <w:lvl w:ilvl="0" w:tentative="0">
      <w:start w:val="1"/>
      <w:numFmt w:val="chineseCounting"/>
      <w:suff w:val="nothing"/>
      <w:lvlText w:val="（%1）"/>
      <w:lvlJc w:val="left"/>
      <w:pPr>
        <w:ind w:left="0" w:firstLine="420"/>
      </w:pPr>
      <w:rPr>
        <w:rFonts w:hint="eastAsia"/>
      </w:rPr>
    </w:lvl>
  </w:abstractNum>
  <w:abstractNum w:abstractNumId="24">
    <w:nsid w:val="647909CE"/>
    <w:multiLevelType w:val="singleLevel"/>
    <w:tmpl w:val="647909CE"/>
    <w:lvl w:ilvl="0" w:tentative="0">
      <w:start w:val="1"/>
      <w:numFmt w:val="decimal"/>
      <w:lvlText w:val="%1."/>
      <w:lvlJc w:val="left"/>
      <w:pPr>
        <w:ind w:left="425" w:hanging="425"/>
      </w:pPr>
      <w:rPr>
        <w:rFonts w:hint="default"/>
      </w:rPr>
    </w:lvl>
  </w:abstractNum>
  <w:abstractNum w:abstractNumId="25">
    <w:nsid w:val="68538A23"/>
    <w:multiLevelType w:val="singleLevel"/>
    <w:tmpl w:val="68538A23"/>
    <w:lvl w:ilvl="0" w:tentative="0">
      <w:start w:val="1"/>
      <w:numFmt w:val="decimal"/>
      <w:lvlText w:val="%1."/>
      <w:lvlJc w:val="left"/>
      <w:pPr>
        <w:tabs>
          <w:tab w:val="left" w:pos="312"/>
        </w:tabs>
      </w:pPr>
    </w:lvl>
  </w:abstractNum>
  <w:num w:numId="1">
    <w:abstractNumId w:val="14"/>
  </w:num>
  <w:num w:numId="2">
    <w:abstractNumId w:val="12"/>
  </w:num>
  <w:num w:numId="3">
    <w:abstractNumId w:val="22"/>
  </w:num>
  <w:num w:numId="4">
    <w:abstractNumId w:val="7"/>
  </w:num>
  <w:num w:numId="5">
    <w:abstractNumId w:val="13"/>
  </w:num>
  <w:num w:numId="6">
    <w:abstractNumId w:val="9"/>
  </w:num>
  <w:num w:numId="7">
    <w:abstractNumId w:val="8"/>
  </w:num>
  <w:num w:numId="8">
    <w:abstractNumId w:val="11"/>
  </w:num>
  <w:num w:numId="9">
    <w:abstractNumId w:val="17"/>
  </w:num>
  <w:num w:numId="10">
    <w:abstractNumId w:val="5"/>
  </w:num>
  <w:num w:numId="11">
    <w:abstractNumId w:val="0"/>
  </w:num>
  <w:num w:numId="12">
    <w:abstractNumId w:val="15"/>
  </w:num>
  <w:num w:numId="13">
    <w:abstractNumId w:val="3"/>
  </w:num>
  <w:num w:numId="14">
    <w:abstractNumId w:val="20"/>
  </w:num>
  <w:num w:numId="15">
    <w:abstractNumId w:val="25"/>
  </w:num>
  <w:num w:numId="16">
    <w:abstractNumId w:val="6"/>
  </w:num>
  <w:num w:numId="17">
    <w:abstractNumId w:val="1"/>
  </w:num>
  <w:num w:numId="18">
    <w:abstractNumId w:val="16"/>
  </w:num>
  <w:num w:numId="19">
    <w:abstractNumId w:val="21"/>
  </w:num>
  <w:num w:numId="20">
    <w:abstractNumId w:val="18"/>
  </w:num>
  <w:num w:numId="21">
    <w:abstractNumId w:val="4"/>
  </w:num>
  <w:num w:numId="22">
    <w:abstractNumId w:val="24"/>
  </w:num>
  <w:num w:numId="23">
    <w:abstractNumId w:val="23"/>
  </w:num>
  <w:num w:numId="24">
    <w:abstractNumId w:val="2"/>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hideSpellingErrors/>
  <w:documentProtection w:enforcement="0"/>
  <w:defaultTabStop w:val="420"/>
  <w:drawingGridHorizontalSpacing w:val="110"/>
  <w:drawingGridVerticalSpacing w:val="289"/>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DExNzkzMDM4Y2Y3ODI5NzQ3YTc5ODg3NmMwOGQifQ=="/>
  </w:docVars>
  <w:rsids>
    <w:rsidRoot w:val="00000000"/>
    <w:rsid w:val="00463970"/>
    <w:rsid w:val="06140476"/>
    <w:rsid w:val="073C095C"/>
    <w:rsid w:val="096A4008"/>
    <w:rsid w:val="09EB0ADC"/>
    <w:rsid w:val="0AD83FE5"/>
    <w:rsid w:val="0BA97986"/>
    <w:rsid w:val="0E197FBF"/>
    <w:rsid w:val="0EB20B82"/>
    <w:rsid w:val="10FF7237"/>
    <w:rsid w:val="11D577A4"/>
    <w:rsid w:val="126355B2"/>
    <w:rsid w:val="147D0908"/>
    <w:rsid w:val="14F56DD9"/>
    <w:rsid w:val="16D558C0"/>
    <w:rsid w:val="17164E20"/>
    <w:rsid w:val="176E6180"/>
    <w:rsid w:val="179B2330"/>
    <w:rsid w:val="19241089"/>
    <w:rsid w:val="19AC1B1F"/>
    <w:rsid w:val="1AC62FBF"/>
    <w:rsid w:val="1C4E5B0E"/>
    <w:rsid w:val="1CD15FD2"/>
    <w:rsid w:val="1D7A2796"/>
    <w:rsid w:val="1E3B2326"/>
    <w:rsid w:val="1E875737"/>
    <w:rsid w:val="1E9254A7"/>
    <w:rsid w:val="1EDA0D13"/>
    <w:rsid w:val="1FA4104E"/>
    <w:rsid w:val="1FD46237"/>
    <w:rsid w:val="20B831B5"/>
    <w:rsid w:val="21124CEE"/>
    <w:rsid w:val="222B215C"/>
    <w:rsid w:val="24141843"/>
    <w:rsid w:val="24A04072"/>
    <w:rsid w:val="256E1F65"/>
    <w:rsid w:val="26655E3B"/>
    <w:rsid w:val="26FA0B11"/>
    <w:rsid w:val="274E3785"/>
    <w:rsid w:val="27600702"/>
    <w:rsid w:val="2922218C"/>
    <w:rsid w:val="29B459B9"/>
    <w:rsid w:val="2A1B0913"/>
    <w:rsid w:val="2BF869D4"/>
    <w:rsid w:val="2C6E69D7"/>
    <w:rsid w:val="2DF4351F"/>
    <w:rsid w:val="2F9857CA"/>
    <w:rsid w:val="301E2A64"/>
    <w:rsid w:val="343E606B"/>
    <w:rsid w:val="34C61FE3"/>
    <w:rsid w:val="34F40443"/>
    <w:rsid w:val="36E8275C"/>
    <w:rsid w:val="387D0857"/>
    <w:rsid w:val="39B323D8"/>
    <w:rsid w:val="3A252FEB"/>
    <w:rsid w:val="3A797D2F"/>
    <w:rsid w:val="3B0508FB"/>
    <w:rsid w:val="3B164129"/>
    <w:rsid w:val="3B6E279B"/>
    <w:rsid w:val="3C213031"/>
    <w:rsid w:val="3CAD07F7"/>
    <w:rsid w:val="3EA5429D"/>
    <w:rsid w:val="3F3C206B"/>
    <w:rsid w:val="3F4D20B1"/>
    <w:rsid w:val="40944298"/>
    <w:rsid w:val="429E11CC"/>
    <w:rsid w:val="42B25ECC"/>
    <w:rsid w:val="42B84404"/>
    <w:rsid w:val="4455044F"/>
    <w:rsid w:val="44EB0525"/>
    <w:rsid w:val="47866DE9"/>
    <w:rsid w:val="47CB001E"/>
    <w:rsid w:val="48F83DF7"/>
    <w:rsid w:val="49256C0F"/>
    <w:rsid w:val="4AD004F0"/>
    <w:rsid w:val="4DD925C1"/>
    <w:rsid w:val="5047578E"/>
    <w:rsid w:val="517C009C"/>
    <w:rsid w:val="5633359D"/>
    <w:rsid w:val="569D1B30"/>
    <w:rsid w:val="573C5995"/>
    <w:rsid w:val="578917CF"/>
    <w:rsid w:val="58474F15"/>
    <w:rsid w:val="585F40BE"/>
    <w:rsid w:val="597F069F"/>
    <w:rsid w:val="59B2124C"/>
    <w:rsid w:val="5A8D0F8C"/>
    <w:rsid w:val="5B4E0ECF"/>
    <w:rsid w:val="5D3E335E"/>
    <w:rsid w:val="5EEF2BBF"/>
    <w:rsid w:val="5F546BB8"/>
    <w:rsid w:val="5F5A3661"/>
    <w:rsid w:val="6086658C"/>
    <w:rsid w:val="610B630E"/>
    <w:rsid w:val="61F10A2E"/>
    <w:rsid w:val="63753C37"/>
    <w:rsid w:val="64DC273D"/>
    <w:rsid w:val="659151B4"/>
    <w:rsid w:val="65A84069"/>
    <w:rsid w:val="65F8016D"/>
    <w:rsid w:val="670E0398"/>
    <w:rsid w:val="684C3095"/>
    <w:rsid w:val="6981601A"/>
    <w:rsid w:val="6B455161"/>
    <w:rsid w:val="6B4C663D"/>
    <w:rsid w:val="6C433814"/>
    <w:rsid w:val="6CC63515"/>
    <w:rsid w:val="6CD62F63"/>
    <w:rsid w:val="6D7C2ED9"/>
    <w:rsid w:val="6ED67C3A"/>
    <w:rsid w:val="71C22F12"/>
    <w:rsid w:val="72D32197"/>
    <w:rsid w:val="72E224A1"/>
    <w:rsid w:val="73763845"/>
    <w:rsid w:val="737E37A3"/>
    <w:rsid w:val="73CA5DA8"/>
    <w:rsid w:val="73FE0680"/>
    <w:rsid w:val="753E743C"/>
    <w:rsid w:val="75CF3CDB"/>
    <w:rsid w:val="75F8159A"/>
    <w:rsid w:val="760A0038"/>
    <w:rsid w:val="77921D40"/>
    <w:rsid w:val="77966754"/>
    <w:rsid w:val="79D34116"/>
    <w:rsid w:val="7BFA2F04"/>
    <w:rsid w:val="7E035AE4"/>
    <w:rsid w:val="7EE26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mbria" w:hAnsi="Cambria" w:eastAsia="宋体" w:cs="宋体"/>
      <w:sz w:val="22"/>
      <w:szCs w:val="22"/>
      <w:lang w:val="en-US" w:eastAsia="zh-CN" w:bidi="ar-SA"/>
    </w:rPr>
  </w:style>
  <w:style w:type="paragraph" w:styleId="3">
    <w:name w:val="heading 1"/>
    <w:basedOn w:val="1"/>
    <w:next w:val="1"/>
    <w:link w:val="87"/>
    <w:qFormat/>
    <w:uiPriority w:val="9"/>
    <w:pPr>
      <w:spacing w:before="480" w:after="0"/>
      <w:contextualSpacing/>
      <w:outlineLvl w:val="0"/>
    </w:pPr>
    <w:rPr>
      <w:smallCaps/>
      <w:spacing w:val="5"/>
      <w:sz w:val="36"/>
      <w:szCs w:val="36"/>
    </w:rPr>
  </w:style>
  <w:style w:type="paragraph" w:styleId="4">
    <w:name w:val="heading 2"/>
    <w:basedOn w:val="1"/>
    <w:next w:val="1"/>
    <w:link w:val="88"/>
    <w:qFormat/>
    <w:uiPriority w:val="9"/>
    <w:pPr>
      <w:spacing w:before="200" w:after="0" w:line="271" w:lineRule="auto"/>
      <w:outlineLvl w:val="1"/>
    </w:pPr>
    <w:rPr>
      <w:smallCaps/>
      <w:sz w:val="28"/>
      <w:szCs w:val="28"/>
    </w:rPr>
  </w:style>
  <w:style w:type="paragraph" w:styleId="5">
    <w:name w:val="heading 3"/>
    <w:basedOn w:val="1"/>
    <w:next w:val="1"/>
    <w:link w:val="89"/>
    <w:qFormat/>
    <w:uiPriority w:val="9"/>
    <w:pPr>
      <w:spacing w:before="200" w:after="0" w:line="271" w:lineRule="auto"/>
      <w:outlineLvl w:val="2"/>
    </w:pPr>
    <w:rPr>
      <w:i/>
      <w:iCs/>
      <w:smallCaps/>
      <w:spacing w:val="5"/>
      <w:sz w:val="26"/>
      <w:szCs w:val="26"/>
    </w:rPr>
  </w:style>
  <w:style w:type="paragraph" w:styleId="6">
    <w:name w:val="heading 4"/>
    <w:basedOn w:val="1"/>
    <w:next w:val="1"/>
    <w:link w:val="90"/>
    <w:qFormat/>
    <w:uiPriority w:val="9"/>
    <w:pPr>
      <w:spacing w:after="0" w:line="271" w:lineRule="auto"/>
      <w:outlineLvl w:val="3"/>
    </w:pPr>
    <w:rPr>
      <w:b/>
      <w:bCs/>
      <w:spacing w:val="5"/>
      <w:sz w:val="24"/>
      <w:szCs w:val="24"/>
    </w:rPr>
  </w:style>
  <w:style w:type="paragraph" w:styleId="7">
    <w:name w:val="heading 5"/>
    <w:basedOn w:val="1"/>
    <w:next w:val="1"/>
    <w:link w:val="91"/>
    <w:qFormat/>
    <w:uiPriority w:val="9"/>
    <w:pPr>
      <w:spacing w:after="0" w:line="271" w:lineRule="auto"/>
      <w:outlineLvl w:val="4"/>
    </w:pPr>
    <w:rPr>
      <w:i/>
      <w:iCs/>
      <w:sz w:val="24"/>
      <w:szCs w:val="24"/>
    </w:rPr>
  </w:style>
  <w:style w:type="paragraph" w:styleId="8">
    <w:name w:val="heading 6"/>
    <w:basedOn w:val="1"/>
    <w:next w:val="1"/>
    <w:link w:val="92"/>
    <w:qFormat/>
    <w:uiPriority w:val="9"/>
    <w:pPr>
      <w:shd w:val="clear" w:color="auto" w:fill="B9FDCD"/>
      <w:spacing w:after="0" w:line="271" w:lineRule="auto"/>
      <w:outlineLvl w:val="5"/>
    </w:pPr>
    <w:rPr>
      <w:b/>
      <w:bCs/>
      <w:color w:val="595959"/>
      <w:spacing w:val="5"/>
    </w:rPr>
  </w:style>
  <w:style w:type="paragraph" w:styleId="9">
    <w:name w:val="heading 7"/>
    <w:basedOn w:val="1"/>
    <w:next w:val="1"/>
    <w:link w:val="93"/>
    <w:qFormat/>
    <w:uiPriority w:val="9"/>
    <w:pPr>
      <w:spacing w:after="0"/>
      <w:outlineLvl w:val="6"/>
    </w:pPr>
    <w:rPr>
      <w:b/>
      <w:bCs/>
      <w:i/>
      <w:iCs/>
      <w:color w:val="595959"/>
      <w:sz w:val="20"/>
      <w:szCs w:val="20"/>
    </w:rPr>
  </w:style>
  <w:style w:type="paragraph" w:styleId="10">
    <w:name w:val="heading 8"/>
    <w:basedOn w:val="1"/>
    <w:next w:val="1"/>
    <w:link w:val="94"/>
    <w:qFormat/>
    <w:uiPriority w:val="9"/>
    <w:pPr>
      <w:spacing w:after="0"/>
      <w:outlineLvl w:val="7"/>
    </w:pPr>
    <w:rPr>
      <w:b/>
      <w:bCs/>
      <w:color w:val="7F7F7F"/>
      <w:sz w:val="20"/>
      <w:szCs w:val="20"/>
    </w:rPr>
  </w:style>
  <w:style w:type="paragraph" w:styleId="11">
    <w:name w:val="heading 9"/>
    <w:basedOn w:val="1"/>
    <w:next w:val="1"/>
    <w:link w:val="95"/>
    <w:qFormat/>
    <w:uiPriority w:val="9"/>
    <w:pPr>
      <w:spacing w:after="0" w:line="271" w:lineRule="auto"/>
      <w:outlineLvl w:val="8"/>
    </w:pPr>
    <w:rPr>
      <w:b/>
      <w:bCs/>
      <w:i/>
      <w:iCs/>
      <w:color w:val="7F7F7F"/>
      <w:sz w:val="18"/>
      <w:szCs w:val="18"/>
    </w:rPr>
  </w:style>
  <w:style w:type="character" w:default="1" w:styleId="38">
    <w:name w:val="Default Paragraph Font"/>
    <w:qFormat/>
    <w:uiPriority w:val="1"/>
  </w:style>
  <w:style w:type="table" w:default="1" w:styleId="36">
    <w:name w:val="Normal Table"/>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pPr>
    <w:rPr>
      <w:rFonts w:ascii="Calibri" w:hAnsi="Calibri"/>
      <w:b/>
      <w:bCs/>
      <w:caps/>
      <w:sz w:val="20"/>
      <w:szCs w:val="20"/>
    </w:rPr>
  </w:style>
  <w:style w:type="paragraph" w:styleId="12">
    <w:name w:val="toc 7"/>
    <w:basedOn w:val="1"/>
    <w:next w:val="1"/>
    <w:qFormat/>
    <w:uiPriority w:val="0"/>
    <w:pPr>
      <w:spacing w:after="0"/>
      <w:ind w:left="1320"/>
    </w:pPr>
    <w:rPr>
      <w:rFonts w:ascii="Calibri" w:hAnsi="Calibri"/>
      <w:sz w:val="18"/>
      <w:szCs w:val="18"/>
    </w:rPr>
  </w:style>
  <w:style w:type="paragraph" w:styleId="13">
    <w:name w:val="Normal Indent"/>
    <w:basedOn w:val="1"/>
    <w:qFormat/>
    <w:uiPriority w:val="0"/>
    <w:pPr>
      <w:ind w:firstLine="420"/>
    </w:pPr>
    <w:rPr>
      <w:szCs w:val="20"/>
    </w:rPr>
  </w:style>
  <w:style w:type="paragraph" w:styleId="14">
    <w:name w:val="annotation text"/>
    <w:basedOn w:val="1"/>
    <w:link w:val="110"/>
    <w:qFormat/>
    <w:uiPriority w:val="0"/>
  </w:style>
  <w:style w:type="paragraph" w:styleId="15">
    <w:name w:val="Body Text"/>
    <w:basedOn w:val="1"/>
    <w:qFormat/>
    <w:uiPriority w:val="0"/>
    <w:pPr>
      <w:spacing w:after="120"/>
    </w:pPr>
    <w:rPr>
      <w:szCs w:val="20"/>
    </w:rPr>
  </w:style>
  <w:style w:type="paragraph" w:styleId="16">
    <w:name w:val="Body Text Indent"/>
    <w:basedOn w:val="1"/>
    <w:link w:val="58"/>
    <w:qFormat/>
    <w:uiPriority w:val="0"/>
    <w:pPr>
      <w:ind w:firstLine="538" w:firstLineChars="192"/>
    </w:pPr>
    <w:rPr>
      <w:rFonts w:ascii="仿宋_GB2312" w:eastAsia="仿宋_GB2312"/>
      <w:sz w:val="28"/>
    </w:rPr>
  </w:style>
  <w:style w:type="paragraph" w:styleId="17">
    <w:name w:val="Block Text"/>
    <w:basedOn w:val="1"/>
    <w:qFormat/>
    <w:uiPriority w:val="0"/>
    <w:pPr>
      <w:spacing w:line="500" w:lineRule="atLeast"/>
      <w:ind w:left="147" w:right="-11" w:firstLine="560" w:firstLineChars="200"/>
    </w:pPr>
    <w:rPr>
      <w:rFonts w:hint="eastAsia" w:ascii="仿宋_GB2312" w:eastAsia="仿宋_GB2312"/>
      <w:sz w:val="28"/>
      <w:szCs w:val="20"/>
    </w:rPr>
  </w:style>
  <w:style w:type="paragraph" w:styleId="18">
    <w:name w:val="toc 5"/>
    <w:basedOn w:val="1"/>
    <w:next w:val="1"/>
    <w:qFormat/>
    <w:uiPriority w:val="0"/>
    <w:pPr>
      <w:spacing w:after="0"/>
      <w:ind w:left="880"/>
    </w:pPr>
    <w:rPr>
      <w:rFonts w:ascii="Calibri" w:hAnsi="Calibri"/>
      <w:sz w:val="18"/>
      <w:szCs w:val="18"/>
    </w:rPr>
  </w:style>
  <w:style w:type="paragraph" w:styleId="19">
    <w:name w:val="toc 3"/>
    <w:basedOn w:val="1"/>
    <w:next w:val="1"/>
    <w:qFormat/>
    <w:uiPriority w:val="0"/>
    <w:pPr>
      <w:spacing w:after="0"/>
      <w:ind w:left="440"/>
    </w:pPr>
    <w:rPr>
      <w:rFonts w:ascii="Calibri" w:hAnsi="Calibri"/>
      <w:i/>
      <w:iCs/>
      <w:sz w:val="20"/>
      <w:szCs w:val="20"/>
    </w:rPr>
  </w:style>
  <w:style w:type="paragraph" w:styleId="20">
    <w:name w:val="Plain Text"/>
    <w:basedOn w:val="1"/>
    <w:link w:val="54"/>
    <w:qFormat/>
    <w:uiPriority w:val="0"/>
    <w:rPr>
      <w:rFonts w:ascii="宋体" w:hAnsi="Courier New"/>
      <w:szCs w:val="20"/>
    </w:rPr>
  </w:style>
  <w:style w:type="paragraph" w:styleId="21">
    <w:name w:val="toc 8"/>
    <w:basedOn w:val="1"/>
    <w:next w:val="1"/>
    <w:qFormat/>
    <w:uiPriority w:val="0"/>
    <w:pPr>
      <w:spacing w:after="0"/>
      <w:ind w:left="1540"/>
    </w:pPr>
    <w:rPr>
      <w:rFonts w:ascii="Calibri" w:hAnsi="Calibri"/>
      <w:sz w:val="18"/>
      <w:szCs w:val="18"/>
    </w:rPr>
  </w:style>
  <w:style w:type="paragraph" w:styleId="22">
    <w:name w:val="Date"/>
    <w:basedOn w:val="1"/>
    <w:next w:val="1"/>
    <w:qFormat/>
    <w:uiPriority w:val="0"/>
    <w:pPr>
      <w:ind w:left="100" w:leftChars="2500"/>
    </w:pPr>
    <w:rPr>
      <w:rFonts w:ascii="仿宋_GB2312" w:eastAsia="仿宋_GB2312"/>
      <w:sz w:val="28"/>
    </w:rPr>
  </w:style>
  <w:style w:type="paragraph" w:styleId="23">
    <w:name w:val="Body Text Indent 2"/>
    <w:basedOn w:val="1"/>
    <w:link w:val="117"/>
    <w:qFormat/>
    <w:uiPriority w:val="0"/>
    <w:pPr>
      <w:ind w:firstLine="540"/>
    </w:pPr>
    <w:rPr>
      <w:rFonts w:ascii="仿宋_GB2312" w:eastAsia="仿宋_GB2312"/>
      <w:bCs/>
      <w:sz w:val="28"/>
    </w:rPr>
  </w:style>
  <w:style w:type="paragraph" w:styleId="24">
    <w:name w:val="Balloon Text"/>
    <w:basedOn w:val="1"/>
    <w:qFormat/>
    <w:uiPriority w:val="0"/>
    <w:rPr>
      <w:sz w:val="18"/>
      <w:szCs w:val="20"/>
    </w:rPr>
  </w:style>
  <w:style w:type="paragraph" w:styleId="25">
    <w:name w:val="footer"/>
    <w:basedOn w:val="1"/>
    <w:link w:val="116"/>
    <w:qFormat/>
    <w:uiPriority w:val="99"/>
    <w:pPr>
      <w:tabs>
        <w:tab w:val="center" w:pos="4153"/>
        <w:tab w:val="right" w:pos="8306"/>
      </w:tabs>
      <w:snapToGrid w:val="0"/>
    </w:pPr>
    <w:rPr>
      <w:sz w:val="18"/>
      <w:szCs w:val="18"/>
    </w:rPr>
  </w:style>
  <w:style w:type="paragraph" w:styleId="26">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7">
    <w:name w:val="toc 4"/>
    <w:basedOn w:val="1"/>
    <w:next w:val="1"/>
    <w:qFormat/>
    <w:uiPriority w:val="0"/>
    <w:pPr>
      <w:spacing w:after="0"/>
      <w:ind w:left="660"/>
    </w:pPr>
    <w:rPr>
      <w:rFonts w:ascii="Calibri" w:hAnsi="Calibri"/>
      <w:sz w:val="18"/>
      <w:szCs w:val="18"/>
    </w:rPr>
  </w:style>
  <w:style w:type="paragraph" w:styleId="28">
    <w:name w:val="Subtitle"/>
    <w:basedOn w:val="1"/>
    <w:next w:val="1"/>
    <w:link w:val="86"/>
    <w:qFormat/>
    <w:uiPriority w:val="11"/>
    <w:rPr>
      <w:i/>
      <w:iCs/>
      <w:smallCaps/>
      <w:spacing w:val="10"/>
      <w:sz w:val="28"/>
      <w:szCs w:val="28"/>
    </w:rPr>
  </w:style>
  <w:style w:type="paragraph" w:styleId="29">
    <w:name w:val="toc 6"/>
    <w:basedOn w:val="1"/>
    <w:next w:val="1"/>
    <w:qFormat/>
    <w:uiPriority w:val="0"/>
    <w:pPr>
      <w:spacing w:after="0"/>
      <w:ind w:left="1100"/>
    </w:pPr>
    <w:rPr>
      <w:rFonts w:ascii="Calibri" w:hAnsi="Calibri"/>
      <w:sz w:val="18"/>
      <w:szCs w:val="18"/>
    </w:rPr>
  </w:style>
  <w:style w:type="paragraph" w:styleId="30">
    <w:name w:val="Body Text Indent 3"/>
    <w:basedOn w:val="1"/>
    <w:qFormat/>
    <w:uiPriority w:val="0"/>
    <w:pPr>
      <w:ind w:firstLine="540"/>
    </w:pPr>
    <w:rPr>
      <w:rFonts w:ascii="宋体" w:hAnsi="宋体"/>
      <w:color w:val="993300"/>
      <w:sz w:val="30"/>
    </w:rPr>
  </w:style>
  <w:style w:type="paragraph" w:styleId="31">
    <w:name w:val="toc 2"/>
    <w:basedOn w:val="1"/>
    <w:next w:val="1"/>
    <w:qFormat/>
    <w:uiPriority w:val="39"/>
    <w:pPr>
      <w:spacing w:after="0"/>
      <w:ind w:left="220"/>
    </w:pPr>
    <w:rPr>
      <w:rFonts w:ascii="Calibri" w:hAnsi="Calibri"/>
      <w:smallCaps/>
      <w:sz w:val="20"/>
      <w:szCs w:val="20"/>
    </w:rPr>
  </w:style>
  <w:style w:type="paragraph" w:styleId="32">
    <w:name w:val="toc 9"/>
    <w:basedOn w:val="1"/>
    <w:next w:val="1"/>
    <w:qFormat/>
    <w:uiPriority w:val="0"/>
    <w:pPr>
      <w:spacing w:after="0"/>
      <w:ind w:left="1760"/>
    </w:pPr>
    <w:rPr>
      <w:rFonts w:ascii="Calibri" w:hAnsi="Calibri"/>
      <w:sz w:val="18"/>
      <w:szCs w:val="18"/>
    </w:rPr>
  </w:style>
  <w:style w:type="paragraph" w:styleId="33">
    <w:name w:val="Normal (Web)"/>
    <w:basedOn w:val="1"/>
    <w:qFormat/>
    <w:uiPriority w:val="0"/>
    <w:pPr>
      <w:spacing w:before="100" w:beforeAutospacing="1" w:after="100" w:afterAutospacing="1"/>
    </w:pPr>
    <w:rPr>
      <w:rFonts w:ascii="Arial Unicode MS" w:hAnsi="Arial Unicode MS" w:eastAsia="Arial Unicode MS" w:cs="Arial Unicode MS"/>
      <w:sz w:val="24"/>
    </w:rPr>
  </w:style>
  <w:style w:type="paragraph" w:styleId="34">
    <w:name w:val="Title"/>
    <w:basedOn w:val="1"/>
    <w:next w:val="1"/>
    <w:link w:val="85"/>
    <w:qFormat/>
    <w:uiPriority w:val="10"/>
    <w:pPr>
      <w:spacing w:after="300" w:line="240" w:lineRule="auto"/>
      <w:contextualSpacing/>
    </w:pPr>
    <w:rPr>
      <w:smallCaps/>
      <w:sz w:val="52"/>
      <w:szCs w:val="52"/>
    </w:rPr>
  </w:style>
  <w:style w:type="paragraph" w:styleId="35">
    <w:name w:val="annotation subject"/>
    <w:basedOn w:val="14"/>
    <w:next w:val="14"/>
    <w:link w:val="111"/>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basedOn w:val="38"/>
    <w:qFormat/>
    <w:uiPriority w:val="0"/>
    <w:rPr>
      <w:color w:val="963E7C"/>
      <w:u w:val="none"/>
    </w:rPr>
  </w:style>
  <w:style w:type="character" w:styleId="42">
    <w:name w:val="Emphasis"/>
    <w:qFormat/>
    <w:uiPriority w:val="20"/>
    <w:rPr>
      <w:b/>
      <w:bCs/>
      <w:i/>
      <w:iCs/>
      <w:spacing w:val="10"/>
    </w:rPr>
  </w:style>
  <w:style w:type="character" w:styleId="43">
    <w:name w:val="HTML Definition"/>
    <w:basedOn w:val="38"/>
    <w:qFormat/>
    <w:uiPriority w:val="0"/>
    <w:rPr>
      <w:b/>
      <w:i/>
      <w:color w:val="FFFFFF"/>
      <w:sz w:val="18"/>
      <w:szCs w:val="18"/>
      <w:shd w:val="clear" w:color="auto" w:fill="999999"/>
      <w:vertAlign w:val="baseline"/>
    </w:rPr>
  </w:style>
  <w:style w:type="character" w:styleId="44">
    <w:name w:val="HTML Typewriter"/>
    <w:qFormat/>
    <w:uiPriority w:val="0"/>
    <w:rPr>
      <w:rFonts w:ascii="黑体" w:hAnsi="Courier New" w:eastAsia="黑体"/>
      <w:sz w:val="20"/>
    </w:rPr>
  </w:style>
  <w:style w:type="character" w:styleId="45">
    <w:name w:val="Hyperlink"/>
    <w:basedOn w:val="38"/>
    <w:qFormat/>
    <w:uiPriority w:val="99"/>
    <w:rPr>
      <w:color w:val="063E7C"/>
      <w:u w:val="none"/>
    </w:rPr>
  </w:style>
  <w:style w:type="character" w:styleId="46">
    <w:name w:val="HTML Code"/>
    <w:basedOn w:val="38"/>
    <w:qFormat/>
    <w:uiPriority w:val="0"/>
    <w:rPr>
      <w:rFonts w:hint="default" w:ascii="Consolas" w:hAnsi="Consolas" w:eastAsia="Consolas" w:cs="Consolas"/>
      <w:color w:val="C7254E"/>
      <w:sz w:val="21"/>
      <w:szCs w:val="21"/>
      <w:shd w:val="clear" w:color="auto" w:fill="F9F2F4"/>
    </w:rPr>
  </w:style>
  <w:style w:type="character" w:styleId="47">
    <w:name w:val="annotation reference"/>
    <w:qFormat/>
    <w:uiPriority w:val="0"/>
    <w:rPr>
      <w:sz w:val="21"/>
      <w:szCs w:val="21"/>
    </w:rPr>
  </w:style>
  <w:style w:type="character" w:styleId="48">
    <w:name w:val="HTML Cite"/>
    <w:basedOn w:val="38"/>
    <w:qFormat/>
    <w:uiPriority w:val="0"/>
  </w:style>
  <w:style w:type="character" w:styleId="49">
    <w:name w:val="HTML Keyboard"/>
    <w:basedOn w:val="38"/>
    <w:qFormat/>
    <w:uiPriority w:val="0"/>
    <w:rPr>
      <w:rFonts w:ascii="Consolas" w:hAnsi="Consolas" w:eastAsia="Consolas" w:cs="Consolas"/>
      <w:color w:val="FFFFFF"/>
      <w:sz w:val="21"/>
      <w:szCs w:val="21"/>
      <w:shd w:val="clear" w:color="auto" w:fill="333333"/>
    </w:rPr>
  </w:style>
  <w:style w:type="character" w:styleId="50">
    <w:name w:val="HTML Sample"/>
    <w:basedOn w:val="38"/>
    <w:qFormat/>
    <w:uiPriority w:val="0"/>
    <w:rPr>
      <w:rFonts w:hint="default" w:ascii="Consolas" w:hAnsi="Consolas" w:eastAsia="Consolas" w:cs="Consolas"/>
      <w:sz w:val="21"/>
      <w:szCs w:val="21"/>
    </w:rPr>
  </w:style>
  <w:style w:type="character" w:customStyle="1" w:styleId="51">
    <w:name w:val="web21"/>
    <w:qFormat/>
    <w:uiPriority w:val="0"/>
    <w:rPr>
      <w:rFonts w:hint="default"/>
      <w:color w:val="DE1018"/>
      <w:sz w:val="24"/>
      <w:szCs w:val="24"/>
      <w:u w:val="none"/>
    </w:rPr>
  </w:style>
  <w:style w:type="character" w:customStyle="1" w:styleId="52">
    <w:name w:val="Char Char7"/>
    <w:qFormat/>
    <w:uiPriority w:val="0"/>
    <w:rPr>
      <w:rFonts w:ascii="宋体" w:hAnsi="Courier New" w:eastAsia="宋体"/>
      <w:kern w:val="2"/>
      <w:sz w:val="21"/>
      <w:lang w:val="en-US" w:eastAsia="zh-CN" w:bidi="ar-SA"/>
    </w:rPr>
  </w:style>
  <w:style w:type="character" w:customStyle="1" w:styleId="53">
    <w:name w:val="明显参考1"/>
    <w:qFormat/>
    <w:uiPriority w:val="32"/>
    <w:rPr>
      <w:b/>
      <w:bCs/>
      <w:smallCaps/>
    </w:rPr>
  </w:style>
  <w:style w:type="character" w:customStyle="1" w:styleId="54">
    <w:name w:val="纯文本 Char"/>
    <w:link w:val="20"/>
    <w:qFormat/>
    <w:uiPriority w:val="0"/>
    <w:rPr>
      <w:rFonts w:ascii="宋体" w:hAnsi="Courier New" w:eastAsia="宋体"/>
      <w:kern w:val="2"/>
      <w:sz w:val="21"/>
      <w:lang w:val="en-US" w:eastAsia="zh-CN" w:bidi="ar-SA"/>
    </w:rPr>
  </w:style>
  <w:style w:type="character" w:customStyle="1" w:styleId="55">
    <w:name w:val="普通文字 Char"/>
    <w:qFormat/>
    <w:uiPriority w:val="0"/>
    <w:rPr>
      <w:rFonts w:ascii="宋体" w:hAnsi="Courier New" w:eastAsia="宋体"/>
      <w:kern w:val="2"/>
      <w:sz w:val="21"/>
      <w:lang w:val="en-US" w:eastAsia="zh-CN" w:bidi="ar-SA"/>
    </w:rPr>
  </w:style>
  <w:style w:type="character" w:customStyle="1" w:styleId="56">
    <w:name w:val="纯文本 Char1"/>
    <w:qFormat/>
    <w:uiPriority w:val="0"/>
    <w:rPr>
      <w:rFonts w:ascii="宋体" w:hAnsi="Courier New" w:eastAsia="宋体"/>
      <w:kern w:val="2"/>
      <w:sz w:val="21"/>
      <w:lang w:val="en-US" w:eastAsia="zh-CN" w:bidi="ar-SA"/>
    </w:rPr>
  </w:style>
  <w:style w:type="character" w:customStyle="1" w:styleId="57">
    <w:name w:val="unnamed11"/>
    <w:qFormat/>
    <w:uiPriority w:val="0"/>
    <w:rPr>
      <w:sz w:val="22"/>
    </w:rPr>
  </w:style>
  <w:style w:type="character" w:customStyle="1" w:styleId="58">
    <w:name w:val="正文文本缩进 Char"/>
    <w:link w:val="16"/>
    <w:qFormat/>
    <w:uiPriority w:val="0"/>
    <w:rPr>
      <w:rFonts w:ascii="仿宋_GB2312" w:eastAsia="仿宋_GB2312"/>
      <w:kern w:val="2"/>
      <w:sz w:val="28"/>
      <w:szCs w:val="24"/>
    </w:rPr>
  </w:style>
  <w:style w:type="character" w:customStyle="1" w:styleId="59">
    <w:name w:val="t1"/>
    <w:qFormat/>
    <w:uiPriority w:val="0"/>
    <w:rPr>
      <w:sz w:val="18"/>
      <w:u w:val="none"/>
    </w:rPr>
  </w:style>
  <w:style w:type="character" w:customStyle="1" w:styleId="60">
    <w:name w:val="报告正文 Char"/>
    <w:link w:val="61"/>
    <w:qFormat/>
    <w:uiPriority w:val="0"/>
    <w:rPr>
      <w:rFonts w:ascii="仿宋_GB2312" w:eastAsia="仿宋_GB2312"/>
      <w:kern w:val="2"/>
      <w:sz w:val="28"/>
      <w:szCs w:val="28"/>
      <w:lang w:val="en-US" w:eastAsia="zh-CN" w:bidi="ar-SA"/>
    </w:rPr>
  </w:style>
  <w:style w:type="paragraph" w:customStyle="1" w:styleId="61">
    <w:name w:val="报告正文"/>
    <w:basedOn w:val="1"/>
    <w:link w:val="60"/>
    <w:qFormat/>
    <w:uiPriority w:val="0"/>
    <w:pPr>
      <w:ind w:firstLine="560" w:firstLineChars="200"/>
    </w:pPr>
    <w:rPr>
      <w:rFonts w:ascii="仿宋_GB2312" w:eastAsia="仿宋_GB2312"/>
      <w:sz w:val="28"/>
      <w:szCs w:val="28"/>
    </w:rPr>
  </w:style>
  <w:style w:type="character" w:customStyle="1" w:styleId="62">
    <w:name w:val="页眉 Char"/>
    <w:link w:val="26"/>
    <w:qFormat/>
    <w:uiPriority w:val="99"/>
    <w:rPr>
      <w:rFonts w:eastAsia="宋体"/>
      <w:kern w:val="2"/>
      <w:sz w:val="18"/>
      <w:szCs w:val="18"/>
      <w:lang w:val="en-US" w:eastAsia="zh-CN" w:bidi="ar-SA"/>
    </w:rPr>
  </w:style>
  <w:style w:type="character" w:customStyle="1" w:styleId="63">
    <w:name w:val="Char"/>
    <w:qFormat/>
    <w:uiPriority w:val="0"/>
    <w:rPr>
      <w:rFonts w:eastAsia="宋体"/>
      <w:kern w:val="2"/>
      <w:sz w:val="28"/>
      <w:szCs w:val="24"/>
      <w:lang w:val="en-US" w:eastAsia="zh-CN" w:bidi="ar-SA"/>
    </w:rPr>
  </w:style>
  <w:style w:type="paragraph" w:customStyle="1" w:styleId="64">
    <w:name w:val="xl33"/>
    <w:basedOn w:val="1"/>
    <w:qFormat/>
    <w:uiPriority w:val="0"/>
    <w:pPr>
      <w:pBdr>
        <w:top w:val="single" w:color="auto" w:sz="4" w:space="0"/>
        <w:left w:val="single" w:color="auto" w:sz="4" w:space="0"/>
        <w:bottom w:val="single" w:color="auto" w:sz="4" w:space="0"/>
        <w:right w:val="single" w:color="auto" w:sz="4" w:space="0"/>
      </w:pBdr>
      <w:shd w:val="clear" w:color="auto" w:fill="00CCFF"/>
      <w:spacing w:before="100" w:beforeAutospacing="1" w:after="100" w:afterAutospacing="1"/>
      <w:jc w:val="center"/>
      <w:textAlignment w:val="center"/>
    </w:pPr>
    <w:rPr>
      <w:rFonts w:ascii="Arial Unicode MS" w:hAnsi="Arial Unicode MS" w:eastAsia="Arial Unicode MS"/>
      <w:sz w:val="18"/>
      <w:szCs w:val="20"/>
    </w:rPr>
  </w:style>
  <w:style w:type="paragraph" w:customStyle="1" w:styleId="65">
    <w:name w:val="xl31"/>
    <w:basedOn w:val="1"/>
    <w:qFormat/>
    <w:uiPriority w:val="0"/>
    <w:pPr>
      <w:pBdr>
        <w:top w:val="single" w:color="auto" w:sz="4" w:space="0"/>
        <w:left w:val="single" w:color="auto" w:sz="4" w:space="0"/>
        <w:bottom w:val="single" w:color="auto" w:sz="4" w:space="0"/>
        <w:right w:val="single" w:color="auto" w:sz="4" w:space="0"/>
      </w:pBdr>
      <w:shd w:val="clear" w:color="auto" w:fill="00CCFF"/>
      <w:spacing w:before="100" w:beforeAutospacing="1" w:after="100" w:afterAutospacing="1"/>
      <w:jc w:val="center"/>
      <w:textAlignment w:val="center"/>
    </w:pPr>
    <w:rPr>
      <w:rFonts w:ascii="Arial Unicode MS" w:hAnsi="Arial Unicode MS" w:eastAsia="Arial Unicode MS"/>
      <w:b/>
      <w:sz w:val="18"/>
      <w:szCs w:val="20"/>
    </w:rPr>
  </w:style>
  <w:style w:type="paragraph" w:customStyle="1" w:styleId="66">
    <w:name w:val="font7"/>
    <w:basedOn w:val="1"/>
    <w:qFormat/>
    <w:uiPriority w:val="0"/>
    <w:pPr>
      <w:spacing w:before="100" w:beforeAutospacing="1" w:after="100" w:afterAutospacing="1"/>
    </w:pPr>
    <w:rPr>
      <w:rFonts w:hint="eastAsia" w:ascii="宋体" w:hAnsi="宋体"/>
      <w:sz w:val="20"/>
      <w:szCs w:val="20"/>
    </w:rPr>
  </w:style>
  <w:style w:type="paragraph" w:customStyle="1" w:styleId="67">
    <w:name w:val="xl26"/>
    <w:basedOn w:val="1"/>
    <w:qFormat/>
    <w:uiPriority w:val="0"/>
    <w:pPr>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68">
    <w:name w:val="Char Char Char Char"/>
    <w:basedOn w:val="1"/>
    <w:qFormat/>
    <w:uiPriority w:val="0"/>
    <w:rPr>
      <w:rFonts w:ascii="宋体" w:hAnsi="宋体" w:cs="Courier New"/>
      <w:sz w:val="32"/>
      <w:szCs w:val="32"/>
    </w:rPr>
  </w:style>
  <w:style w:type="paragraph" w:customStyle="1" w:styleId="69">
    <w:name w:val="xl28"/>
    <w:basedOn w:val="1"/>
    <w:qFormat/>
    <w:uiPriority w:val="0"/>
    <w:pPr>
      <w:spacing w:before="100" w:beforeAutospacing="1" w:after="100" w:afterAutospacing="1"/>
      <w:jc w:val="center"/>
      <w:textAlignment w:val="center"/>
    </w:pPr>
    <w:rPr>
      <w:rFonts w:eastAsia="Arial Unicode MS"/>
      <w:sz w:val="20"/>
      <w:szCs w:val="20"/>
    </w:rPr>
  </w:style>
  <w:style w:type="paragraph" w:customStyle="1" w:styleId="70">
    <w:name w:val="font6"/>
    <w:basedOn w:val="1"/>
    <w:qFormat/>
    <w:uiPriority w:val="0"/>
    <w:pPr>
      <w:spacing w:before="100" w:beforeAutospacing="1" w:after="100" w:afterAutospacing="1"/>
    </w:pPr>
    <w:rPr>
      <w:rFonts w:eastAsia="Arial Unicode MS"/>
      <w:sz w:val="24"/>
      <w:szCs w:val="20"/>
    </w:rPr>
  </w:style>
  <w:style w:type="paragraph" w:customStyle="1" w:styleId="71">
    <w:name w:val="xl24"/>
    <w:basedOn w:val="1"/>
    <w:qFormat/>
    <w:uiPriority w:val="0"/>
    <w:pPr>
      <w:spacing w:before="100" w:beforeAutospacing="1" w:after="100" w:afterAutospacing="1"/>
    </w:pPr>
    <w:rPr>
      <w:rFonts w:ascii="Arial Unicode MS" w:hAnsi="Arial Unicode MS" w:eastAsia="Arial Unicode MS"/>
      <w:sz w:val="20"/>
      <w:szCs w:val="20"/>
    </w:rPr>
  </w:style>
  <w:style w:type="paragraph" w:customStyle="1" w:styleId="72">
    <w:name w:val="xl30"/>
    <w:basedOn w:val="1"/>
    <w:qFormat/>
    <w:uiPriority w:val="0"/>
    <w:pPr>
      <w:pBdr>
        <w:top w:val="single" w:color="auto" w:sz="4" w:space="0"/>
        <w:left w:val="single" w:color="auto" w:sz="4" w:space="0"/>
        <w:bottom w:val="single" w:color="auto" w:sz="4" w:space="0"/>
        <w:right w:val="single" w:color="auto" w:sz="4" w:space="0"/>
      </w:pBdr>
      <w:shd w:val="clear" w:color="auto" w:fill="00CCFF"/>
      <w:spacing w:before="100" w:beforeAutospacing="1" w:after="100" w:afterAutospacing="1"/>
      <w:jc w:val="center"/>
      <w:textAlignment w:val="center"/>
    </w:pPr>
    <w:rPr>
      <w:rFonts w:ascii="Arial Unicode MS" w:hAnsi="Arial Unicode MS" w:eastAsia="Arial Unicode MS"/>
      <w:b/>
      <w:sz w:val="18"/>
      <w:szCs w:val="20"/>
    </w:rPr>
  </w:style>
  <w:style w:type="paragraph" w:customStyle="1" w:styleId="73">
    <w:name w:val="_Style 14"/>
    <w:basedOn w:val="1"/>
    <w:next w:val="20"/>
    <w:qFormat/>
    <w:uiPriority w:val="0"/>
    <w:pPr>
      <w:spacing w:line="288" w:lineRule="auto"/>
    </w:pPr>
    <w:rPr>
      <w:rFonts w:ascii="宋体" w:hAnsi="Courier New"/>
      <w:szCs w:val="20"/>
    </w:rPr>
  </w:style>
  <w:style w:type="paragraph" w:customStyle="1" w:styleId="74">
    <w:name w:val="Char Char Char Char Char Char"/>
    <w:basedOn w:val="1"/>
    <w:qFormat/>
    <w:uiPriority w:val="0"/>
    <w:pPr>
      <w:snapToGrid w:val="0"/>
      <w:spacing w:line="360" w:lineRule="auto"/>
      <w:ind w:firstLine="200" w:firstLineChars="200"/>
    </w:pPr>
  </w:style>
  <w:style w:type="paragraph" w:customStyle="1" w:styleId="75">
    <w:name w:val="font5"/>
    <w:basedOn w:val="1"/>
    <w:qFormat/>
    <w:uiPriority w:val="0"/>
    <w:pPr>
      <w:spacing w:before="100" w:beforeAutospacing="1" w:after="100" w:afterAutospacing="1"/>
    </w:pPr>
    <w:rPr>
      <w:rFonts w:hint="eastAsia" w:ascii="宋体" w:hAnsi="宋体"/>
      <w:sz w:val="18"/>
      <w:szCs w:val="20"/>
    </w:rPr>
  </w:style>
  <w:style w:type="paragraph" w:customStyle="1" w:styleId="76">
    <w:name w:val="xl27"/>
    <w:basedOn w:val="1"/>
    <w:qFormat/>
    <w:uiPriority w:val="0"/>
    <w:pPr>
      <w:pBdr>
        <w:bottom w:val="single" w:color="000000" w:sz="4" w:space="0"/>
        <w:right w:val="single" w:color="000000" w:sz="4" w:space="0"/>
      </w:pBdr>
      <w:spacing w:before="100" w:beforeAutospacing="1" w:after="100" w:afterAutospacing="1"/>
      <w:jc w:val="center"/>
      <w:textAlignment w:val="top"/>
    </w:pPr>
    <w:rPr>
      <w:rFonts w:ascii="宋体" w:hAnsi="宋体"/>
      <w:sz w:val="18"/>
      <w:szCs w:val="18"/>
    </w:rPr>
  </w:style>
  <w:style w:type="paragraph" w:customStyle="1" w:styleId="77">
    <w:name w:val="xl32"/>
    <w:basedOn w:val="1"/>
    <w:qFormat/>
    <w:uiPriority w:val="0"/>
    <w:pPr>
      <w:shd w:val="clear" w:color="auto" w:fill="00CCFF"/>
      <w:spacing w:before="100" w:beforeAutospacing="1" w:after="100" w:afterAutospacing="1"/>
      <w:jc w:val="center"/>
      <w:textAlignment w:val="center"/>
    </w:pPr>
    <w:rPr>
      <w:rFonts w:ascii="Arial Unicode MS" w:hAnsi="Arial Unicode MS" w:eastAsia="Arial Unicode MS"/>
      <w:b/>
      <w:sz w:val="18"/>
      <w:szCs w:val="20"/>
    </w:rPr>
  </w:style>
  <w:style w:type="paragraph" w:customStyle="1" w:styleId="78">
    <w:name w:val="xl40"/>
    <w:basedOn w:val="1"/>
    <w:qFormat/>
    <w:uiPriority w:val="0"/>
    <w:pPr>
      <w:pBdr>
        <w:bottom w:val="single" w:color="auto" w:sz="4" w:space="0"/>
      </w:pBdr>
      <w:spacing w:before="100" w:beforeAutospacing="1" w:after="100" w:afterAutospacing="1"/>
      <w:jc w:val="center"/>
    </w:pPr>
    <w:rPr>
      <w:rFonts w:hint="eastAsia" w:ascii="仿宋_GB2312" w:hAnsi="宋体" w:eastAsia="仿宋_GB2312"/>
      <w:sz w:val="20"/>
      <w:szCs w:val="20"/>
    </w:rPr>
  </w:style>
  <w:style w:type="paragraph" w:customStyle="1" w:styleId="79">
    <w:name w:val="默认段落字体 Para Char Char Char Char Char Char Char"/>
    <w:basedOn w:val="1"/>
    <w:qFormat/>
    <w:uiPriority w:val="0"/>
    <w:rPr>
      <w:rFonts w:ascii="Tahoma" w:hAnsi="Tahoma"/>
      <w:sz w:val="24"/>
      <w:szCs w:val="20"/>
    </w:rPr>
  </w:style>
  <w:style w:type="paragraph" w:customStyle="1" w:styleId="80">
    <w:name w:val="xl29"/>
    <w:basedOn w:val="1"/>
    <w:qFormat/>
    <w:uiPriority w:val="0"/>
    <w:pPr>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81">
    <w:name w:val="font8"/>
    <w:basedOn w:val="1"/>
    <w:qFormat/>
    <w:uiPriority w:val="0"/>
    <w:pPr>
      <w:spacing w:before="100" w:beforeAutospacing="1" w:after="100" w:afterAutospacing="1"/>
    </w:pPr>
    <w:rPr>
      <w:rFonts w:hint="eastAsia" w:ascii="宋体" w:hAnsi="宋体"/>
      <w:b/>
      <w:sz w:val="18"/>
      <w:szCs w:val="20"/>
    </w:rPr>
  </w:style>
  <w:style w:type="paragraph" w:customStyle="1" w:styleId="82">
    <w:name w:val="xl25"/>
    <w:basedOn w:val="1"/>
    <w:qFormat/>
    <w:uiPriority w:val="0"/>
    <w:pPr>
      <w:spacing w:before="100" w:beforeAutospacing="1" w:after="100" w:afterAutospacing="1"/>
      <w:jc w:val="center"/>
      <w:textAlignment w:val="center"/>
    </w:pPr>
    <w:rPr>
      <w:rFonts w:ascii="Arial Unicode MS" w:hAnsi="Arial Unicode MS" w:eastAsia="Arial Unicode MS"/>
      <w:sz w:val="24"/>
      <w:szCs w:val="20"/>
    </w:rPr>
  </w:style>
  <w:style w:type="paragraph" w:customStyle="1" w:styleId="83">
    <w:name w:val="样式7"/>
    <w:basedOn w:val="1"/>
    <w:qFormat/>
    <w:uiPriority w:val="0"/>
    <w:pPr>
      <w:spacing w:line="360" w:lineRule="auto"/>
      <w:ind w:firstLine="567"/>
    </w:pPr>
    <w:rPr>
      <w:rFonts w:ascii="仿宋_GB2312" w:hAnsi="Calibri" w:eastAsia="仿宋_GB2312"/>
      <w:sz w:val="28"/>
      <w:szCs w:val="20"/>
      <w:lang w:eastAsia="en-US" w:bidi="en-US"/>
    </w:rPr>
  </w:style>
  <w:style w:type="character" w:customStyle="1" w:styleId="84">
    <w:name w:val="Char Char3"/>
    <w:qFormat/>
    <w:uiPriority w:val="0"/>
    <w:rPr>
      <w:rFonts w:ascii="仿宋_GB2312" w:eastAsia="仿宋_GB2312"/>
      <w:kern w:val="2"/>
      <w:sz w:val="28"/>
      <w:szCs w:val="24"/>
    </w:rPr>
  </w:style>
  <w:style w:type="character" w:customStyle="1" w:styleId="85">
    <w:name w:val="标题 Char"/>
    <w:basedOn w:val="38"/>
    <w:link w:val="34"/>
    <w:qFormat/>
    <w:uiPriority w:val="10"/>
    <w:rPr>
      <w:smallCaps/>
      <w:sz w:val="52"/>
      <w:szCs w:val="52"/>
    </w:rPr>
  </w:style>
  <w:style w:type="character" w:customStyle="1" w:styleId="86">
    <w:name w:val="副标题 Char"/>
    <w:basedOn w:val="38"/>
    <w:link w:val="28"/>
    <w:qFormat/>
    <w:uiPriority w:val="11"/>
    <w:rPr>
      <w:i/>
      <w:iCs/>
      <w:smallCaps/>
      <w:spacing w:val="10"/>
      <w:sz w:val="28"/>
      <w:szCs w:val="28"/>
    </w:rPr>
  </w:style>
  <w:style w:type="character" w:customStyle="1" w:styleId="87">
    <w:name w:val="标题 1 Char"/>
    <w:basedOn w:val="38"/>
    <w:link w:val="3"/>
    <w:qFormat/>
    <w:uiPriority w:val="9"/>
    <w:rPr>
      <w:smallCaps/>
      <w:spacing w:val="5"/>
      <w:sz w:val="36"/>
      <w:szCs w:val="36"/>
    </w:rPr>
  </w:style>
  <w:style w:type="character" w:customStyle="1" w:styleId="88">
    <w:name w:val="标题 2 Char"/>
    <w:basedOn w:val="38"/>
    <w:link w:val="4"/>
    <w:qFormat/>
    <w:uiPriority w:val="9"/>
    <w:rPr>
      <w:smallCaps/>
      <w:sz w:val="28"/>
      <w:szCs w:val="28"/>
    </w:rPr>
  </w:style>
  <w:style w:type="character" w:customStyle="1" w:styleId="89">
    <w:name w:val="标题 3 Char"/>
    <w:basedOn w:val="38"/>
    <w:link w:val="5"/>
    <w:qFormat/>
    <w:uiPriority w:val="9"/>
    <w:rPr>
      <w:i/>
      <w:iCs/>
      <w:smallCaps/>
      <w:spacing w:val="5"/>
      <w:sz w:val="26"/>
      <w:szCs w:val="26"/>
    </w:rPr>
  </w:style>
  <w:style w:type="character" w:customStyle="1" w:styleId="90">
    <w:name w:val="标题 4 Char"/>
    <w:basedOn w:val="38"/>
    <w:link w:val="6"/>
    <w:qFormat/>
    <w:uiPriority w:val="9"/>
    <w:rPr>
      <w:b/>
      <w:bCs/>
      <w:spacing w:val="5"/>
      <w:sz w:val="24"/>
      <w:szCs w:val="24"/>
    </w:rPr>
  </w:style>
  <w:style w:type="character" w:customStyle="1" w:styleId="91">
    <w:name w:val="标题 5 Char"/>
    <w:basedOn w:val="38"/>
    <w:link w:val="7"/>
    <w:qFormat/>
    <w:uiPriority w:val="9"/>
    <w:rPr>
      <w:i/>
      <w:iCs/>
      <w:sz w:val="24"/>
      <w:szCs w:val="24"/>
    </w:rPr>
  </w:style>
  <w:style w:type="character" w:customStyle="1" w:styleId="92">
    <w:name w:val="标题 6 Char"/>
    <w:basedOn w:val="38"/>
    <w:link w:val="8"/>
    <w:qFormat/>
    <w:uiPriority w:val="9"/>
    <w:rPr>
      <w:b/>
      <w:bCs/>
      <w:color w:val="595959"/>
      <w:spacing w:val="5"/>
      <w:shd w:val="clear" w:color="auto" w:fill="B9FDCD"/>
    </w:rPr>
  </w:style>
  <w:style w:type="character" w:customStyle="1" w:styleId="93">
    <w:name w:val="标题 7 Char"/>
    <w:basedOn w:val="38"/>
    <w:link w:val="9"/>
    <w:qFormat/>
    <w:uiPriority w:val="9"/>
    <w:rPr>
      <w:b/>
      <w:bCs/>
      <w:i/>
      <w:iCs/>
      <w:color w:val="595959"/>
      <w:sz w:val="20"/>
      <w:szCs w:val="20"/>
    </w:rPr>
  </w:style>
  <w:style w:type="character" w:customStyle="1" w:styleId="94">
    <w:name w:val="标题 8 Char"/>
    <w:basedOn w:val="38"/>
    <w:link w:val="10"/>
    <w:qFormat/>
    <w:uiPriority w:val="9"/>
    <w:rPr>
      <w:b/>
      <w:bCs/>
      <w:color w:val="7F7F7F"/>
      <w:sz w:val="20"/>
      <w:szCs w:val="20"/>
    </w:rPr>
  </w:style>
  <w:style w:type="character" w:customStyle="1" w:styleId="95">
    <w:name w:val="标题 9 Char"/>
    <w:basedOn w:val="38"/>
    <w:link w:val="11"/>
    <w:qFormat/>
    <w:uiPriority w:val="9"/>
    <w:rPr>
      <w:b/>
      <w:bCs/>
      <w:i/>
      <w:iCs/>
      <w:color w:val="7F7F7F"/>
      <w:sz w:val="18"/>
      <w:szCs w:val="18"/>
    </w:rPr>
  </w:style>
  <w:style w:type="paragraph" w:customStyle="1" w:styleId="96">
    <w:name w:val="无间隔1"/>
    <w:basedOn w:val="1"/>
    <w:qFormat/>
    <w:uiPriority w:val="1"/>
    <w:pPr>
      <w:spacing w:after="0" w:line="240" w:lineRule="auto"/>
    </w:pPr>
  </w:style>
  <w:style w:type="paragraph" w:customStyle="1" w:styleId="97">
    <w:name w:val="列出段落1"/>
    <w:basedOn w:val="1"/>
    <w:qFormat/>
    <w:uiPriority w:val="34"/>
    <w:pPr>
      <w:ind w:left="720"/>
      <w:contextualSpacing/>
    </w:pPr>
  </w:style>
  <w:style w:type="paragraph" w:customStyle="1" w:styleId="98">
    <w:name w:val="引用1"/>
    <w:basedOn w:val="1"/>
    <w:next w:val="1"/>
    <w:link w:val="99"/>
    <w:qFormat/>
    <w:uiPriority w:val="29"/>
    <w:rPr>
      <w:i/>
      <w:iCs/>
    </w:rPr>
  </w:style>
  <w:style w:type="character" w:customStyle="1" w:styleId="99">
    <w:name w:val="引用 Char"/>
    <w:basedOn w:val="38"/>
    <w:link w:val="98"/>
    <w:qFormat/>
    <w:uiPriority w:val="29"/>
    <w:rPr>
      <w:i/>
      <w:iCs/>
    </w:rPr>
  </w:style>
  <w:style w:type="paragraph" w:customStyle="1" w:styleId="100">
    <w:name w:val="明显引用1"/>
    <w:basedOn w:val="1"/>
    <w:next w:val="1"/>
    <w:link w:val="101"/>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101">
    <w:name w:val="明显引用 Char"/>
    <w:basedOn w:val="38"/>
    <w:link w:val="100"/>
    <w:qFormat/>
    <w:uiPriority w:val="30"/>
    <w:rPr>
      <w:i/>
      <w:iCs/>
    </w:rPr>
  </w:style>
  <w:style w:type="character" w:customStyle="1" w:styleId="102">
    <w:name w:val="不明显强调1"/>
    <w:qFormat/>
    <w:uiPriority w:val="19"/>
    <w:rPr>
      <w:i/>
      <w:iCs/>
    </w:rPr>
  </w:style>
  <w:style w:type="character" w:customStyle="1" w:styleId="103">
    <w:name w:val="明显强调1"/>
    <w:qFormat/>
    <w:uiPriority w:val="21"/>
    <w:rPr>
      <w:b/>
      <w:bCs/>
      <w:i/>
      <w:iCs/>
    </w:rPr>
  </w:style>
  <w:style w:type="character" w:customStyle="1" w:styleId="104">
    <w:name w:val="不明显参考1"/>
    <w:basedOn w:val="38"/>
    <w:qFormat/>
    <w:uiPriority w:val="31"/>
    <w:rPr>
      <w:smallCaps/>
    </w:rPr>
  </w:style>
  <w:style w:type="character" w:customStyle="1" w:styleId="105">
    <w:name w:val="书籍标题1"/>
    <w:basedOn w:val="38"/>
    <w:qFormat/>
    <w:uiPriority w:val="33"/>
    <w:rPr>
      <w:i/>
      <w:iCs/>
      <w:smallCaps/>
      <w:spacing w:val="5"/>
    </w:rPr>
  </w:style>
  <w:style w:type="paragraph" w:customStyle="1" w:styleId="106">
    <w:name w:val="TOC 标题1"/>
    <w:basedOn w:val="3"/>
    <w:next w:val="1"/>
    <w:qFormat/>
    <w:uiPriority w:val="39"/>
    <w:pPr>
      <w:outlineLvl w:val="9"/>
    </w:pPr>
    <w:rPr>
      <w:lang w:bidi="en-US"/>
    </w:rPr>
  </w:style>
  <w:style w:type="paragraph" w:customStyle="1" w:styleId="107">
    <w:name w:val="Char1"/>
    <w:basedOn w:val="1"/>
    <w:qFormat/>
    <w:uiPriority w:val="0"/>
    <w:pPr>
      <w:widowControl w:val="0"/>
      <w:spacing w:after="0" w:line="240" w:lineRule="auto"/>
      <w:jc w:val="both"/>
    </w:pPr>
    <w:rPr>
      <w:rFonts w:ascii="Times New Roman" w:hAnsi="Times New Roman" w:eastAsia="宋体" w:cs="Times New Roman"/>
      <w:kern w:val="2"/>
      <w:sz w:val="21"/>
      <w:szCs w:val="20"/>
    </w:rPr>
  </w:style>
  <w:style w:type="paragraph" w:customStyle="1" w:styleId="108">
    <w:name w:val="Char Char"/>
    <w:basedOn w:val="1"/>
    <w:qFormat/>
    <w:uiPriority w:val="0"/>
    <w:pPr>
      <w:widowControl w:val="0"/>
      <w:spacing w:after="0" w:line="240" w:lineRule="auto"/>
      <w:jc w:val="both"/>
    </w:pPr>
    <w:rPr>
      <w:rFonts w:ascii="Times New Roman" w:hAnsi="Times New Roman" w:eastAsia="宋体" w:cs="Times New Roman"/>
      <w:kern w:val="2"/>
      <w:sz w:val="21"/>
      <w:szCs w:val="20"/>
    </w:rPr>
  </w:style>
  <w:style w:type="paragraph" w:customStyle="1" w:styleId="109">
    <w:name w:val="Char2"/>
    <w:basedOn w:val="1"/>
    <w:qFormat/>
    <w:uiPriority w:val="0"/>
    <w:pPr>
      <w:widowControl w:val="0"/>
      <w:spacing w:after="0" w:line="240" w:lineRule="auto"/>
      <w:jc w:val="both"/>
    </w:pPr>
    <w:rPr>
      <w:rFonts w:ascii="Times New Roman" w:hAnsi="Times New Roman" w:eastAsia="宋体" w:cs="Times New Roman"/>
      <w:kern w:val="2"/>
      <w:sz w:val="21"/>
      <w:szCs w:val="20"/>
    </w:rPr>
  </w:style>
  <w:style w:type="character" w:customStyle="1" w:styleId="110">
    <w:name w:val="批注文字 Char"/>
    <w:basedOn w:val="38"/>
    <w:link w:val="14"/>
    <w:qFormat/>
    <w:uiPriority w:val="0"/>
    <w:rPr>
      <w:rFonts w:ascii="Cambria" w:hAnsi="Cambria" w:eastAsia="宋体" w:cs="宋体"/>
      <w:sz w:val="22"/>
      <w:szCs w:val="22"/>
    </w:rPr>
  </w:style>
  <w:style w:type="character" w:customStyle="1" w:styleId="111">
    <w:name w:val="批注主题 Char"/>
    <w:basedOn w:val="110"/>
    <w:link w:val="35"/>
    <w:qFormat/>
    <w:uiPriority w:val="0"/>
    <w:rPr>
      <w:rFonts w:ascii="Cambria" w:hAnsi="Cambria" w:eastAsia="宋体" w:cs="宋体"/>
      <w:b/>
      <w:bCs/>
      <w:sz w:val="22"/>
      <w:szCs w:val="22"/>
    </w:rPr>
  </w:style>
  <w:style w:type="character" w:customStyle="1" w:styleId="112">
    <w:name w:val="new"/>
    <w:basedOn w:val="38"/>
    <w:qFormat/>
    <w:uiPriority w:val="0"/>
    <w:rPr>
      <w:color w:val="999999"/>
    </w:rPr>
  </w:style>
  <w:style w:type="character" w:customStyle="1" w:styleId="113">
    <w:name w:val="old"/>
    <w:basedOn w:val="38"/>
    <w:qFormat/>
    <w:uiPriority w:val="0"/>
    <w:rPr>
      <w:color w:val="999999"/>
    </w:rPr>
  </w:style>
  <w:style w:type="character" w:customStyle="1" w:styleId="114">
    <w:name w:val="hover9"/>
    <w:basedOn w:val="38"/>
    <w:qFormat/>
    <w:uiPriority w:val="0"/>
    <w:rPr>
      <w:shd w:val="clear" w:color="auto" w:fill="EEEEEE"/>
    </w:rPr>
  </w:style>
  <w:style w:type="paragraph" w:customStyle="1" w:styleId="115">
    <w:name w:val="Revision_8d7c43ee-bc62-47c9-8d7f-f311529b6ddb"/>
    <w:qFormat/>
    <w:uiPriority w:val="99"/>
    <w:rPr>
      <w:rFonts w:ascii="Cambria" w:hAnsi="Cambria" w:eastAsia="宋体" w:cs="宋体"/>
      <w:sz w:val="22"/>
      <w:szCs w:val="22"/>
      <w:lang w:val="en-US" w:eastAsia="zh-CN" w:bidi="ar-SA"/>
    </w:rPr>
  </w:style>
  <w:style w:type="character" w:customStyle="1" w:styleId="116">
    <w:name w:val="页脚 Char"/>
    <w:basedOn w:val="38"/>
    <w:link w:val="25"/>
    <w:qFormat/>
    <w:uiPriority w:val="99"/>
    <w:rPr>
      <w:rFonts w:ascii="Cambria" w:hAnsi="Cambria" w:eastAsia="宋体" w:cs="宋体"/>
      <w:sz w:val="18"/>
      <w:szCs w:val="18"/>
    </w:rPr>
  </w:style>
  <w:style w:type="character" w:customStyle="1" w:styleId="117">
    <w:name w:val="正文文本缩进 2 Char"/>
    <w:basedOn w:val="38"/>
    <w:link w:val="23"/>
    <w:qFormat/>
    <w:uiPriority w:val="0"/>
    <w:rPr>
      <w:rFonts w:ascii="仿宋_GB2312" w:hAnsi="Cambria" w:eastAsia="仿宋_GB2312" w:cs="宋体"/>
      <w:bCs/>
      <w:sz w:val="28"/>
      <w:szCs w:val="22"/>
    </w:rPr>
  </w:style>
  <w:style w:type="character" w:customStyle="1" w:styleId="118">
    <w:name w:val="font91"/>
    <w:basedOn w:val="38"/>
    <w:qFormat/>
    <w:uiPriority w:val="0"/>
    <w:rPr>
      <w:rFonts w:hint="eastAsia" w:ascii="宋体" w:hAnsi="宋体" w:eastAsia="宋体" w:cs="宋体"/>
      <w:color w:val="000000"/>
      <w:sz w:val="20"/>
      <w:szCs w:val="20"/>
      <w:u w:val="none"/>
    </w:rPr>
  </w:style>
  <w:style w:type="character" w:customStyle="1" w:styleId="119">
    <w:name w:val="font61"/>
    <w:basedOn w:val="38"/>
    <w:qFormat/>
    <w:uiPriority w:val="0"/>
    <w:rPr>
      <w:rFonts w:hint="default" w:ascii="Arial Narrow" w:hAnsi="Arial Narrow" w:eastAsia="Arial Narrow" w:cs="Arial Narrow"/>
      <w:color w:val="000000"/>
      <w:sz w:val="20"/>
      <w:szCs w:val="20"/>
      <w:u w:val="none"/>
    </w:rPr>
  </w:style>
  <w:style w:type="character" w:customStyle="1" w:styleId="120">
    <w:name w:val="font121"/>
    <w:basedOn w:val="38"/>
    <w:qFormat/>
    <w:uiPriority w:val="0"/>
    <w:rPr>
      <w:rFonts w:hint="default" w:ascii="Arial Narrow" w:hAnsi="Arial Narrow" w:eastAsia="Arial Narrow" w:cs="Arial Narrow"/>
      <w:color w:val="000000"/>
      <w:sz w:val="20"/>
      <w:szCs w:val="20"/>
      <w:u w:val="none"/>
    </w:rPr>
  </w:style>
  <w:style w:type="character" w:customStyle="1" w:styleId="121">
    <w:name w:val="font112"/>
    <w:basedOn w:val="38"/>
    <w:qFormat/>
    <w:uiPriority w:val="0"/>
    <w:rPr>
      <w:rFonts w:ascii="仿宋_GB2312" w:eastAsia="仿宋_GB2312" w:cs="仿宋_GB2312"/>
      <w:b/>
      <w:color w:val="000000"/>
      <w:sz w:val="20"/>
      <w:szCs w:val="20"/>
      <w:u w:val="none"/>
    </w:rPr>
  </w:style>
  <w:style w:type="character" w:customStyle="1" w:styleId="122">
    <w:name w:val="font101"/>
    <w:basedOn w:val="38"/>
    <w:qFormat/>
    <w:uiPriority w:val="0"/>
    <w:rPr>
      <w:rFonts w:hint="default" w:ascii="仿宋_GB2312" w:eastAsia="仿宋_GB2312" w:cs="仿宋_GB2312"/>
      <w:color w:val="000000"/>
      <w:sz w:val="20"/>
      <w:szCs w:val="20"/>
      <w:u w:val="none"/>
    </w:rPr>
  </w:style>
  <w:style w:type="character" w:customStyle="1" w:styleId="123">
    <w:name w:val="font51"/>
    <w:basedOn w:val="38"/>
    <w:qFormat/>
    <w:uiPriority w:val="0"/>
    <w:rPr>
      <w:rFonts w:hint="default" w:ascii="Arial Narrow" w:hAnsi="Arial Narrow" w:eastAsia="Arial Narrow" w:cs="Arial Narrow"/>
      <w:color w:val="000000"/>
      <w:sz w:val="20"/>
      <w:szCs w:val="20"/>
      <w:u w:val="none"/>
    </w:rPr>
  </w:style>
  <w:style w:type="paragraph" w:customStyle="1" w:styleId="124">
    <w:name w:val="zw"/>
    <w:basedOn w:val="1"/>
    <w:qFormat/>
    <w:uiPriority w:val="0"/>
    <w:pPr>
      <w:autoSpaceDE w:val="0"/>
      <w:autoSpaceDN w:val="0"/>
      <w:spacing w:line="440" w:lineRule="atLeast"/>
      <w:ind w:firstLine="601"/>
      <w:textAlignment w:val="bottom"/>
    </w:pPr>
    <w:rPr>
      <w:rFonts w:ascii="Arial Narrow" w:hAnsi="Arial" w:eastAsia="昆仑楷体"/>
      <w:kern w:val="0"/>
      <w:sz w:val="28"/>
    </w:rPr>
  </w:style>
  <w:style w:type="character" w:customStyle="1" w:styleId="125">
    <w:name w:val="font41"/>
    <w:basedOn w:val="38"/>
    <w:qFormat/>
    <w:uiPriority w:val="0"/>
    <w:rPr>
      <w:rFonts w:hint="default" w:ascii="Arial Narrow" w:hAnsi="Arial Narrow" w:eastAsia="Arial Narrow" w:cs="Arial Narrow"/>
      <w:color w:val="000000"/>
      <w:sz w:val="20"/>
      <w:szCs w:val="20"/>
      <w:u w:val="none"/>
    </w:rPr>
  </w:style>
  <w:style w:type="character" w:customStyle="1" w:styleId="126">
    <w:name w:val="font31"/>
    <w:basedOn w:val="38"/>
    <w:qFormat/>
    <w:uiPriority w:val="0"/>
    <w:rPr>
      <w:rFonts w:ascii="仿宋_GB2312" w:eastAsia="仿宋_GB2312" w:cs="仿宋_GB2312"/>
      <w:b/>
      <w:bCs/>
      <w:color w:val="000000"/>
      <w:sz w:val="22"/>
      <w:szCs w:val="22"/>
      <w:u w:val="none"/>
    </w:rPr>
  </w:style>
  <w:style w:type="character" w:customStyle="1" w:styleId="127">
    <w:name w:val="font71"/>
    <w:basedOn w:val="38"/>
    <w:qFormat/>
    <w:uiPriority w:val="0"/>
    <w:rPr>
      <w:rFonts w:ascii="仿宋_GB2312" w:eastAsia="仿宋_GB2312" w:cs="仿宋_GB2312"/>
      <w:color w:val="000000"/>
      <w:sz w:val="20"/>
      <w:szCs w:val="20"/>
      <w:u w:val="none"/>
    </w:rPr>
  </w:style>
  <w:style w:type="character" w:customStyle="1" w:styleId="128">
    <w:name w:val="font11"/>
    <w:basedOn w:val="38"/>
    <w:qFormat/>
    <w:uiPriority w:val="0"/>
    <w:rPr>
      <w:rFonts w:hint="eastAsia" w:ascii="宋体" w:hAnsi="宋体" w:eastAsia="宋体" w:cs="宋体"/>
      <w:color w:val="000000"/>
      <w:sz w:val="24"/>
      <w:szCs w:val="24"/>
      <w:u w:val="none"/>
    </w:rPr>
  </w:style>
  <w:style w:type="character" w:customStyle="1" w:styleId="129">
    <w:name w:val="font21"/>
    <w:basedOn w:val="38"/>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9E53C-80AE-45FE-8C87-DA85BE6EF0E2}">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46</Pages>
  <Words>24263</Words>
  <Characters>28753</Characters>
  <Paragraphs>5566</Paragraphs>
  <TotalTime>4</TotalTime>
  <ScaleCrop>false</ScaleCrop>
  <LinksUpToDate>false</LinksUpToDate>
  <CharactersWithSpaces>29458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2016-03-26T08:20:00Z</dcterms:created>
  <dc:creator>USER</dc:creator>
  <cp:lastModifiedBy>山东分公司刘峰刚</cp:lastModifiedBy>
  <cp:lastPrinted>2021-09-06T08:58:00Z</cp:lastPrinted>
  <dcterms:modified xsi:type="dcterms:W3CDTF">2023-07-05T11:48:48Z</dcterms:modified>
  <dc:title>第一部分 致委托方函</dc:title>
  <cp:revision>557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EFACAE6281C14982A0D20716CBE3D16F</vt:lpwstr>
  </property>
</Properties>
</file>