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仿宋" w:hAnsi="仿宋" w:eastAsia="仿宋"/>
          <w:b/>
          <w:bCs/>
          <w:sz w:val="28"/>
        </w:rPr>
      </w:pPr>
      <w:bookmarkStart w:id="0" w:name="_GoBack"/>
      <w:bookmarkEnd w:id="0"/>
      <w:r>
        <w:rPr>
          <w:rFonts w:hint="eastAsia" w:ascii="仿宋" w:hAnsi="仿宋" w:eastAsia="仿宋"/>
          <w:b/>
          <w:sz w:val="36"/>
          <w:szCs w:val="36"/>
        </w:rPr>
        <w:t>枣庄闽峰房地产开发有限公司项目情况</w:t>
      </w:r>
    </w:p>
    <w:p>
      <w:pPr>
        <w:pStyle w:val="3"/>
        <w:numPr>
          <w:ilvl w:val="0"/>
          <w:numId w:val="1"/>
        </w:numPr>
        <w:bidi w:val="0"/>
        <w:ind w:left="-122" w:leftChars="0" w:firstLine="543" w:firstLineChars="193"/>
        <w:rPr>
          <w:rFonts w:hint="eastAsia"/>
          <w:lang w:val="en-US" w:eastAsia="zh-CN"/>
        </w:rPr>
      </w:pPr>
      <w:r>
        <w:rPr>
          <w:rFonts w:hint="eastAsia"/>
          <w:lang w:val="en-US" w:eastAsia="zh-CN"/>
        </w:rPr>
        <w:t>项目债权构成情况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b/>
          <w:bCs/>
          <w:sz w:val="28"/>
          <w:lang w:val="en-US" w:eastAsia="zh-CN"/>
        </w:rPr>
      </w:pPr>
      <w:r>
        <w:rPr>
          <w:rFonts w:hint="eastAsia" w:ascii="仿宋" w:hAnsi="仿宋" w:eastAsia="仿宋"/>
          <w:sz w:val="28"/>
        </w:rPr>
        <w:t>截至202</w:t>
      </w:r>
      <w:r>
        <w:rPr>
          <w:rFonts w:hint="eastAsia" w:ascii="仿宋" w:hAnsi="仿宋" w:eastAsia="仿宋"/>
          <w:sz w:val="28"/>
          <w:lang w:val="en-US" w:eastAsia="zh-CN"/>
        </w:rPr>
        <w:t>3</w:t>
      </w:r>
      <w:r>
        <w:rPr>
          <w:rFonts w:hint="eastAsia" w:ascii="仿宋" w:hAnsi="仿宋" w:eastAsia="仿宋"/>
          <w:sz w:val="28"/>
        </w:rPr>
        <w:t>年</w:t>
      </w:r>
      <w:r>
        <w:rPr>
          <w:rFonts w:hint="eastAsia" w:ascii="仿宋" w:hAnsi="仿宋" w:eastAsia="仿宋"/>
          <w:sz w:val="28"/>
          <w:lang w:val="en-US" w:eastAsia="zh-CN"/>
        </w:rPr>
        <w:t>5</w:t>
      </w:r>
      <w:r>
        <w:rPr>
          <w:rFonts w:hint="eastAsia" w:ascii="仿宋" w:hAnsi="仿宋" w:eastAsia="仿宋"/>
          <w:sz w:val="28"/>
        </w:rPr>
        <w:t>月</w:t>
      </w:r>
      <w:r>
        <w:rPr>
          <w:rFonts w:hint="eastAsia" w:ascii="仿宋" w:hAnsi="仿宋" w:eastAsia="仿宋"/>
          <w:sz w:val="28"/>
          <w:lang w:val="en-US" w:eastAsia="zh-CN"/>
        </w:rPr>
        <w:t>31</w:t>
      </w:r>
      <w:r>
        <w:rPr>
          <w:rFonts w:hint="eastAsia" w:ascii="仿宋" w:hAnsi="仿宋" w:eastAsia="仿宋"/>
          <w:sz w:val="28"/>
        </w:rPr>
        <w:t>日，</w:t>
      </w:r>
      <w:r>
        <w:rPr>
          <w:rFonts w:hint="eastAsia" w:ascii="仿宋" w:hAnsi="仿宋" w:eastAsia="仿宋"/>
          <w:sz w:val="28"/>
          <w:lang w:val="en-US" w:eastAsia="zh-CN"/>
        </w:rPr>
        <w:t>我</w:t>
      </w:r>
      <w:r>
        <w:rPr>
          <w:rFonts w:hint="eastAsia" w:ascii="仿宋" w:hAnsi="仿宋" w:eastAsia="仿宋"/>
          <w:sz w:val="28"/>
        </w:rPr>
        <w:t>公司对闽峰房地产享有债权本金</w:t>
      </w:r>
      <w:r>
        <w:rPr>
          <w:rFonts w:hint="eastAsia" w:ascii="仿宋" w:hAnsi="仿宋" w:eastAsia="仿宋"/>
          <w:sz w:val="28"/>
          <w:lang w:val="en-US" w:eastAsia="zh-CN"/>
        </w:rPr>
        <w:t>1.78亿元，本息合计2.88亿元</w:t>
      </w:r>
      <w:r>
        <w:rPr>
          <w:rFonts w:hint="eastAsia" w:ascii="仿宋" w:hAnsi="仿宋" w:eastAsia="仿宋"/>
          <w:b/>
          <w:bCs/>
          <w:sz w:val="28"/>
        </w:rPr>
        <w:t>。</w:t>
      </w:r>
      <w:r>
        <w:rPr>
          <w:rFonts w:hint="eastAsia" w:ascii="仿宋" w:hAnsi="仿宋" w:eastAsia="仿宋"/>
          <w:b/>
          <w:bCs/>
          <w:sz w:val="28"/>
          <w:lang w:val="en-US" w:eastAsia="zh-CN"/>
        </w:rPr>
        <w:t>收购成本余额7488万元，资金成本3.75%</w:t>
      </w:r>
    </w:p>
    <w:p>
      <w:pPr>
        <w:spacing w:line="360" w:lineRule="auto"/>
        <w:ind w:firstLine="480"/>
        <w:jc w:val="right"/>
        <w:rPr>
          <w:rFonts w:eastAsia="仿宋"/>
          <w:sz w:val="21"/>
          <w:szCs w:val="21"/>
        </w:rPr>
      </w:pPr>
      <w:r>
        <w:rPr>
          <w:rFonts w:eastAsia="仿宋"/>
          <w:sz w:val="21"/>
          <w:szCs w:val="21"/>
        </w:rPr>
        <w:t>单位：</w:t>
      </w:r>
      <w:r>
        <w:rPr>
          <w:rFonts w:hint="eastAsia" w:eastAsia="仿宋"/>
          <w:sz w:val="21"/>
          <w:szCs w:val="21"/>
        </w:rPr>
        <w:t>万</w:t>
      </w:r>
      <w:r>
        <w:rPr>
          <w:rFonts w:eastAsia="仿宋"/>
          <w:sz w:val="21"/>
          <w:szCs w:val="21"/>
        </w:rPr>
        <w:t>元</w:t>
      </w:r>
    </w:p>
    <w:tbl>
      <w:tblPr>
        <w:tblStyle w:val="5"/>
        <w:tblW w:w="4998" w:type="pct"/>
        <w:jc w:val="center"/>
        <w:tblLayout w:type="autofit"/>
        <w:tblCellMar>
          <w:top w:w="0" w:type="dxa"/>
          <w:left w:w="108" w:type="dxa"/>
          <w:bottom w:w="0" w:type="dxa"/>
          <w:right w:w="108" w:type="dxa"/>
        </w:tblCellMar>
      </w:tblPr>
      <w:tblGrid>
        <w:gridCol w:w="1344"/>
        <w:gridCol w:w="777"/>
        <w:gridCol w:w="1152"/>
        <w:gridCol w:w="2019"/>
        <w:gridCol w:w="3041"/>
      </w:tblGrid>
      <w:tr>
        <w:tblPrEx>
          <w:tblCellMar>
            <w:top w:w="0" w:type="dxa"/>
            <w:left w:w="108" w:type="dxa"/>
            <w:bottom w:w="0" w:type="dxa"/>
            <w:right w:w="108" w:type="dxa"/>
          </w:tblCellMar>
        </w:tblPrEx>
        <w:trPr>
          <w:trHeight w:val="422" w:hRule="atLeast"/>
          <w:jc w:val="center"/>
        </w:trPr>
        <w:tc>
          <w:tcPr>
            <w:tcW w:w="808" w:type="pct"/>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autoSpaceDN w:val="0"/>
              <w:jc w:val="center"/>
              <w:textAlignment w:val="center"/>
              <w:rPr>
                <w:rFonts w:eastAsia="仿宋"/>
                <w:b/>
                <w:color w:val="000000"/>
                <w:sz w:val="21"/>
                <w:szCs w:val="21"/>
              </w:rPr>
            </w:pPr>
            <w:r>
              <w:rPr>
                <w:rFonts w:eastAsia="仿宋"/>
                <w:b/>
                <w:color w:val="000000"/>
                <w:sz w:val="21"/>
                <w:szCs w:val="21"/>
              </w:rPr>
              <w:t>合同金额</w:t>
            </w:r>
          </w:p>
        </w:tc>
        <w:tc>
          <w:tcPr>
            <w:tcW w:w="461" w:type="pct"/>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autoSpaceDN w:val="0"/>
              <w:jc w:val="center"/>
              <w:textAlignment w:val="center"/>
              <w:rPr>
                <w:rFonts w:eastAsia="仿宋"/>
                <w:b/>
                <w:color w:val="000000"/>
                <w:sz w:val="21"/>
                <w:szCs w:val="21"/>
              </w:rPr>
            </w:pPr>
            <w:r>
              <w:rPr>
                <w:rFonts w:hint="eastAsia" w:eastAsia="仿宋"/>
                <w:b/>
                <w:color w:val="000000"/>
                <w:sz w:val="21"/>
                <w:szCs w:val="21"/>
              </w:rPr>
              <w:t>放款日期</w:t>
            </w:r>
          </w:p>
        </w:tc>
        <w:tc>
          <w:tcPr>
            <w:tcW w:w="692" w:type="pct"/>
            <w:tcBorders>
              <w:top w:val="single" w:color="auto" w:sz="4" w:space="0"/>
              <w:left w:val="single" w:color="auto" w:sz="4" w:space="0"/>
              <w:bottom w:val="single" w:color="auto" w:sz="4" w:space="0"/>
              <w:right w:val="single" w:color="auto" w:sz="4" w:space="0"/>
            </w:tcBorders>
            <w:vAlign w:val="center"/>
          </w:tcPr>
          <w:p>
            <w:pPr>
              <w:widowControl w:val="0"/>
              <w:autoSpaceDN w:val="0"/>
              <w:jc w:val="center"/>
              <w:textAlignment w:val="center"/>
              <w:rPr>
                <w:rFonts w:eastAsia="仿宋"/>
                <w:b/>
                <w:color w:val="000000"/>
                <w:kern w:val="2"/>
                <w:sz w:val="21"/>
                <w:szCs w:val="21"/>
              </w:rPr>
            </w:pPr>
            <w:r>
              <w:rPr>
                <w:rFonts w:hint="eastAsia" w:eastAsia="仿宋"/>
                <w:b/>
                <w:color w:val="000000"/>
                <w:kern w:val="2"/>
                <w:sz w:val="21"/>
                <w:szCs w:val="21"/>
              </w:rPr>
              <w:t>到期日期</w:t>
            </w:r>
          </w:p>
        </w:tc>
        <w:tc>
          <w:tcPr>
            <w:tcW w:w="1212" w:type="pct"/>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autoSpaceDN w:val="0"/>
              <w:jc w:val="center"/>
              <w:textAlignment w:val="center"/>
              <w:rPr>
                <w:rFonts w:eastAsia="仿宋"/>
                <w:b/>
                <w:color w:val="000000"/>
                <w:sz w:val="21"/>
                <w:szCs w:val="21"/>
              </w:rPr>
            </w:pPr>
            <w:r>
              <w:rPr>
                <w:rFonts w:eastAsia="仿宋"/>
                <w:b/>
                <w:color w:val="000000"/>
                <w:sz w:val="21"/>
                <w:szCs w:val="21"/>
              </w:rPr>
              <w:t>保证人</w:t>
            </w:r>
          </w:p>
        </w:tc>
        <w:tc>
          <w:tcPr>
            <w:tcW w:w="1825" w:type="pct"/>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autoSpaceDN w:val="0"/>
              <w:jc w:val="center"/>
              <w:textAlignment w:val="center"/>
              <w:rPr>
                <w:rFonts w:eastAsia="仿宋"/>
                <w:b/>
                <w:color w:val="000000"/>
                <w:sz w:val="21"/>
                <w:szCs w:val="21"/>
              </w:rPr>
            </w:pPr>
            <w:r>
              <w:rPr>
                <w:rFonts w:eastAsia="仿宋"/>
                <w:b/>
                <w:color w:val="000000"/>
                <w:sz w:val="21"/>
                <w:szCs w:val="21"/>
              </w:rPr>
              <w:t>抵押物</w:t>
            </w:r>
          </w:p>
        </w:tc>
      </w:tr>
      <w:tr>
        <w:tblPrEx>
          <w:tblCellMar>
            <w:top w:w="0" w:type="dxa"/>
            <w:left w:w="108" w:type="dxa"/>
            <w:bottom w:w="0" w:type="dxa"/>
            <w:right w:w="108" w:type="dxa"/>
          </w:tblCellMar>
        </w:tblPrEx>
        <w:trPr>
          <w:trHeight w:val="1015" w:hRule="atLeast"/>
          <w:jc w:val="center"/>
        </w:trPr>
        <w:tc>
          <w:tcPr>
            <w:tcW w:w="808" w:type="pct"/>
            <w:vMerge w:val="restart"/>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rPr>
                <w:rFonts w:eastAsia="仿宋"/>
                <w:sz w:val="21"/>
                <w:szCs w:val="21"/>
              </w:rPr>
            </w:pPr>
            <w:r>
              <w:rPr>
                <w:rFonts w:hint="eastAsia" w:eastAsia="仿宋"/>
                <w:sz w:val="21"/>
                <w:szCs w:val="21"/>
              </w:rPr>
              <w:t>20,000.00</w:t>
            </w:r>
          </w:p>
        </w:tc>
        <w:tc>
          <w:tcPr>
            <w:tcW w:w="461" w:type="pct"/>
            <w:vMerge w:val="restart"/>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rPr>
                <w:rFonts w:eastAsia="仿宋"/>
                <w:sz w:val="21"/>
                <w:szCs w:val="21"/>
              </w:rPr>
            </w:pPr>
            <w:r>
              <w:rPr>
                <w:rFonts w:hint="eastAsia" w:eastAsia="仿宋"/>
                <w:sz w:val="21"/>
                <w:szCs w:val="21"/>
              </w:rPr>
              <w:t>2013/2/4</w:t>
            </w:r>
          </w:p>
        </w:tc>
        <w:tc>
          <w:tcPr>
            <w:tcW w:w="692"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
                <w:sz w:val="21"/>
                <w:szCs w:val="21"/>
              </w:rPr>
            </w:pPr>
            <w:r>
              <w:rPr>
                <w:rFonts w:hint="eastAsia" w:eastAsia="仿宋"/>
                <w:sz w:val="21"/>
                <w:szCs w:val="21"/>
              </w:rPr>
              <w:t>2016/2/3</w:t>
            </w:r>
          </w:p>
        </w:tc>
        <w:tc>
          <w:tcPr>
            <w:tcW w:w="1212" w:type="pct"/>
            <w:vMerge w:val="restart"/>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rPr>
                <w:rFonts w:eastAsia="仿宋"/>
                <w:color w:val="000000"/>
                <w:sz w:val="21"/>
                <w:szCs w:val="21"/>
              </w:rPr>
            </w:pPr>
            <w:r>
              <w:rPr>
                <w:rFonts w:hint="eastAsia" w:eastAsia="仿宋"/>
                <w:color w:val="000000"/>
                <w:sz w:val="21"/>
                <w:szCs w:val="21"/>
              </w:rPr>
              <w:t>1.江西闽峰房地产开发有限责任公司，最高担保限额2亿元；</w:t>
            </w:r>
          </w:p>
          <w:p>
            <w:pPr>
              <w:jc w:val="center"/>
              <w:rPr>
                <w:rFonts w:eastAsia="仿宋"/>
                <w:color w:val="000000"/>
                <w:sz w:val="21"/>
                <w:szCs w:val="21"/>
              </w:rPr>
            </w:pPr>
            <w:r>
              <w:rPr>
                <w:rFonts w:hint="eastAsia" w:eastAsia="仿宋"/>
                <w:color w:val="000000"/>
                <w:sz w:val="21"/>
                <w:szCs w:val="21"/>
              </w:rPr>
              <w:t>2.林木盛</w:t>
            </w:r>
          </w:p>
          <w:p>
            <w:pPr>
              <w:jc w:val="center"/>
              <w:rPr>
                <w:rFonts w:eastAsia="仿宋"/>
                <w:color w:val="000000"/>
                <w:sz w:val="21"/>
                <w:szCs w:val="21"/>
              </w:rPr>
            </w:pPr>
            <w:r>
              <w:rPr>
                <w:rFonts w:hint="eastAsia" w:eastAsia="仿宋"/>
                <w:color w:val="000000"/>
                <w:sz w:val="21"/>
                <w:szCs w:val="21"/>
              </w:rPr>
              <w:t>3.林道清</w:t>
            </w:r>
          </w:p>
          <w:p>
            <w:pPr>
              <w:jc w:val="center"/>
              <w:rPr>
                <w:rFonts w:eastAsia="仿宋"/>
                <w:color w:val="000000"/>
                <w:sz w:val="21"/>
                <w:szCs w:val="21"/>
              </w:rPr>
            </w:pPr>
            <w:r>
              <w:rPr>
                <w:rFonts w:hint="eastAsia" w:eastAsia="仿宋"/>
                <w:color w:val="000000"/>
                <w:sz w:val="21"/>
                <w:szCs w:val="21"/>
              </w:rPr>
              <w:t>4.高梅</w:t>
            </w:r>
          </w:p>
        </w:tc>
        <w:tc>
          <w:tcPr>
            <w:tcW w:w="1825" w:type="pct"/>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rPr>
                <w:rFonts w:eastAsia="仿宋"/>
                <w:color w:val="000000"/>
                <w:sz w:val="21"/>
                <w:szCs w:val="21"/>
              </w:rPr>
            </w:pPr>
            <w:r>
              <w:rPr>
                <w:rFonts w:hint="eastAsia" w:ascii="仿宋" w:hAnsi="仿宋" w:eastAsia="仿宋"/>
                <w:sz w:val="21"/>
                <w:szCs w:val="21"/>
              </w:rPr>
              <w:t>市中国用（2012）第0051号和0052号</w:t>
            </w:r>
            <w:r>
              <w:rPr>
                <w:rFonts w:hint="eastAsia" w:ascii="仿宋" w:hAnsi="仿宋" w:eastAsia="仿宋"/>
                <w:b/>
                <w:bCs/>
                <w:sz w:val="21"/>
                <w:szCs w:val="21"/>
              </w:rPr>
              <w:t>国有土地使用权两宗</w:t>
            </w:r>
          </w:p>
        </w:tc>
      </w:tr>
      <w:tr>
        <w:tblPrEx>
          <w:tblCellMar>
            <w:top w:w="0" w:type="dxa"/>
            <w:left w:w="108" w:type="dxa"/>
            <w:bottom w:w="0" w:type="dxa"/>
            <w:right w:w="108" w:type="dxa"/>
          </w:tblCellMar>
        </w:tblPrEx>
        <w:trPr>
          <w:trHeight w:val="1015" w:hRule="atLeast"/>
          <w:jc w:val="center"/>
        </w:trPr>
        <w:tc>
          <w:tcPr>
            <w:tcW w:w="808" w:type="pct"/>
            <w:vMerge w:val="continue"/>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textAlignment w:val="bottom"/>
              <w:rPr>
                <w:rFonts w:eastAsia="仿宋"/>
                <w:color w:val="000000" w:themeColor="text1"/>
                <w:sz w:val="21"/>
                <w:szCs w:val="21"/>
                <w14:textFill>
                  <w14:solidFill>
                    <w14:schemeClr w14:val="tx1"/>
                  </w14:solidFill>
                </w14:textFill>
              </w:rPr>
            </w:pPr>
          </w:p>
        </w:tc>
        <w:tc>
          <w:tcPr>
            <w:tcW w:w="461" w:type="pct"/>
            <w:vMerge w:val="continue"/>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textAlignment w:val="center"/>
              <w:rPr>
                <w:rFonts w:eastAsia="仿宋"/>
                <w:sz w:val="21"/>
                <w:szCs w:val="21"/>
              </w:rPr>
            </w:pPr>
          </w:p>
        </w:tc>
        <w:tc>
          <w:tcPr>
            <w:tcW w:w="69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sz w:val="21"/>
                <w:szCs w:val="21"/>
              </w:rPr>
            </w:pPr>
          </w:p>
        </w:tc>
        <w:tc>
          <w:tcPr>
            <w:tcW w:w="1212" w:type="pct"/>
            <w:vMerge w:val="continue"/>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rPr>
                <w:rFonts w:eastAsia="仿宋"/>
                <w:color w:val="000000"/>
                <w:sz w:val="21"/>
                <w:szCs w:val="21"/>
              </w:rPr>
            </w:pPr>
          </w:p>
        </w:tc>
        <w:tc>
          <w:tcPr>
            <w:tcW w:w="1825" w:type="pct"/>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rPr>
                <w:rFonts w:eastAsia="仿宋"/>
                <w:color w:val="000000"/>
                <w:sz w:val="21"/>
                <w:szCs w:val="21"/>
              </w:rPr>
            </w:pPr>
            <w:r>
              <w:rPr>
                <w:rFonts w:hint="eastAsia" w:ascii="仿宋" w:hAnsi="仿宋" w:eastAsia="仿宋"/>
                <w:sz w:val="21"/>
                <w:szCs w:val="21"/>
              </w:rPr>
              <w:t>在建工程赛纳斯城</w:t>
            </w:r>
            <w:r>
              <w:rPr>
                <w:rFonts w:hint="eastAsia" w:ascii="仿宋" w:hAnsi="仿宋" w:eastAsia="仿宋"/>
                <w:b/>
                <w:bCs/>
                <w:sz w:val="21"/>
                <w:szCs w:val="21"/>
              </w:rPr>
              <w:t>住宅楼1-5、9、10号</w:t>
            </w:r>
          </w:p>
        </w:tc>
      </w:tr>
      <w:tr>
        <w:tblPrEx>
          <w:tblCellMar>
            <w:top w:w="0" w:type="dxa"/>
            <w:left w:w="108" w:type="dxa"/>
            <w:bottom w:w="0" w:type="dxa"/>
            <w:right w:w="108" w:type="dxa"/>
          </w:tblCellMar>
        </w:tblPrEx>
        <w:trPr>
          <w:trHeight w:val="1015" w:hRule="atLeast"/>
          <w:jc w:val="center"/>
        </w:trPr>
        <w:tc>
          <w:tcPr>
            <w:tcW w:w="808" w:type="pct"/>
            <w:vMerge w:val="continue"/>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textAlignment w:val="bottom"/>
              <w:rPr>
                <w:rFonts w:eastAsia="仿宋"/>
                <w:color w:val="000000" w:themeColor="text1"/>
                <w:sz w:val="21"/>
                <w:szCs w:val="21"/>
                <w14:textFill>
                  <w14:solidFill>
                    <w14:schemeClr w14:val="tx1"/>
                  </w14:solidFill>
                </w14:textFill>
              </w:rPr>
            </w:pPr>
          </w:p>
        </w:tc>
        <w:tc>
          <w:tcPr>
            <w:tcW w:w="461" w:type="pct"/>
            <w:vMerge w:val="continue"/>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textAlignment w:val="center"/>
              <w:rPr>
                <w:rFonts w:eastAsia="仿宋"/>
                <w:sz w:val="21"/>
                <w:szCs w:val="21"/>
              </w:rPr>
            </w:pPr>
          </w:p>
        </w:tc>
        <w:tc>
          <w:tcPr>
            <w:tcW w:w="69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sz w:val="21"/>
                <w:szCs w:val="21"/>
              </w:rPr>
            </w:pPr>
          </w:p>
        </w:tc>
        <w:tc>
          <w:tcPr>
            <w:tcW w:w="1212" w:type="pct"/>
            <w:vMerge w:val="continue"/>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rPr>
                <w:rFonts w:eastAsia="仿宋"/>
                <w:color w:val="000000"/>
                <w:sz w:val="21"/>
                <w:szCs w:val="21"/>
              </w:rPr>
            </w:pPr>
          </w:p>
        </w:tc>
        <w:tc>
          <w:tcPr>
            <w:tcW w:w="1825" w:type="pct"/>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rPr>
                <w:rFonts w:eastAsia="仿宋"/>
                <w:color w:val="000000"/>
                <w:sz w:val="21"/>
                <w:szCs w:val="21"/>
              </w:rPr>
            </w:pPr>
            <w:r>
              <w:rPr>
                <w:rFonts w:hint="eastAsia" w:ascii="仿宋" w:hAnsi="仿宋" w:eastAsia="仿宋"/>
                <w:sz w:val="21"/>
                <w:szCs w:val="21"/>
              </w:rPr>
              <w:t>在建工程赛纳斯城</w:t>
            </w:r>
            <w:r>
              <w:rPr>
                <w:rFonts w:hint="eastAsia" w:ascii="仿宋" w:hAnsi="仿宋" w:eastAsia="仿宋"/>
                <w:b/>
                <w:bCs/>
                <w:sz w:val="21"/>
                <w:szCs w:val="21"/>
              </w:rPr>
              <w:t>一期12号楼1、13号楼、14号楼、15号楼</w:t>
            </w:r>
          </w:p>
        </w:tc>
      </w:tr>
      <w:tr>
        <w:tblPrEx>
          <w:tblCellMar>
            <w:top w:w="0" w:type="dxa"/>
            <w:left w:w="108" w:type="dxa"/>
            <w:bottom w:w="0" w:type="dxa"/>
            <w:right w:w="108" w:type="dxa"/>
          </w:tblCellMar>
        </w:tblPrEx>
        <w:trPr>
          <w:trHeight w:val="1015" w:hRule="atLeast"/>
          <w:jc w:val="center"/>
        </w:trPr>
        <w:tc>
          <w:tcPr>
            <w:tcW w:w="808" w:type="pct"/>
            <w:vMerge w:val="continue"/>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textAlignment w:val="bottom"/>
              <w:rPr>
                <w:rFonts w:eastAsia="仿宋"/>
                <w:color w:val="000000" w:themeColor="text1"/>
                <w:sz w:val="21"/>
                <w:szCs w:val="21"/>
                <w14:textFill>
                  <w14:solidFill>
                    <w14:schemeClr w14:val="tx1"/>
                  </w14:solidFill>
                </w14:textFill>
              </w:rPr>
            </w:pPr>
          </w:p>
        </w:tc>
        <w:tc>
          <w:tcPr>
            <w:tcW w:w="461" w:type="pct"/>
            <w:vMerge w:val="continue"/>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textAlignment w:val="center"/>
              <w:rPr>
                <w:rFonts w:eastAsia="仿宋"/>
                <w:sz w:val="21"/>
                <w:szCs w:val="21"/>
              </w:rPr>
            </w:pPr>
          </w:p>
        </w:tc>
        <w:tc>
          <w:tcPr>
            <w:tcW w:w="69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sz w:val="21"/>
                <w:szCs w:val="21"/>
              </w:rPr>
            </w:pPr>
          </w:p>
        </w:tc>
        <w:tc>
          <w:tcPr>
            <w:tcW w:w="1212" w:type="pct"/>
            <w:vMerge w:val="continue"/>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rPr>
                <w:rFonts w:eastAsia="仿宋"/>
                <w:color w:val="000000"/>
                <w:sz w:val="21"/>
                <w:szCs w:val="21"/>
              </w:rPr>
            </w:pPr>
          </w:p>
        </w:tc>
        <w:tc>
          <w:tcPr>
            <w:tcW w:w="1825" w:type="pct"/>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rPr>
                <w:rFonts w:eastAsia="仿宋"/>
                <w:color w:val="000000"/>
                <w:sz w:val="21"/>
                <w:szCs w:val="21"/>
              </w:rPr>
            </w:pPr>
            <w:r>
              <w:rPr>
                <w:rFonts w:hint="eastAsia" w:ascii="仿宋" w:hAnsi="仿宋" w:eastAsia="仿宋"/>
                <w:sz w:val="21"/>
                <w:szCs w:val="21"/>
              </w:rPr>
              <w:t>在建工程赛纳斯城</w:t>
            </w:r>
            <w:r>
              <w:rPr>
                <w:rFonts w:hint="eastAsia" w:ascii="仿宋" w:hAnsi="仿宋" w:eastAsia="仿宋"/>
                <w:b/>
                <w:bCs/>
                <w:sz w:val="21"/>
                <w:szCs w:val="21"/>
              </w:rPr>
              <w:t>一期6号楼、8号楼、11号住宅楼、11号商业楼、商业2、商业3</w:t>
            </w:r>
          </w:p>
        </w:tc>
      </w:tr>
      <w:tr>
        <w:tblPrEx>
          <w:tblCellMar>
            <w:top w:w="0" w:type="dxa"/>
            <w:left w:w="108" w:type="dxa"/>
            <w:bottom w:w="0" w:type="dxa"/>
            <w:right w:w="108" w:type="dxa"/>
          </w:tblCellMar>
        </w:tblPrEx>
        <w:trPr>
          <w:trHeight w:val="1015" w:hRule="atLeast"/>
          <w:jc w:val="center"/>
        </w:trPr>
        <w:tc>
          <w:tcPr>
            <w:tcW w:w="808" w:type="pct"/>
            <w:vMerge w:val="continue"/>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textAlignment w:val="bottom"/>
              <w:rPr>
                <w:rFonts w:eastAsia="仿宋"/>
                <w:color w:val="000000" w:themeColor="text1"/>
                <w:sz w:val="21"/>
                <w:szCs w:val="21"/>
                <w14:textFill>
                  <w14:solidFill>
                    <w14:schemeClr w14:val="tx1"/>
                  </w14:solidFill>
                </w14:textFill>
              </w:rPr>
            </w:pPr>
          </w:p>
        </w:tc>
        <w:tc>
          <w:tcPr>
            <w:tcW w:w="461" w:type="pct"/>
            <w:vMerge w:val="continue"/>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textAlignment w:val="center"/>
              <w:rPr>
                <w:rFonts w:eastAsia="仿宋"/>
                <w:sz w:val="21"/>
                <w:szCs w:val="21"/>
              </w:rPr>
            </w:pPr>
          </w:p>
        </w:tc>
        <w:tc>
          <w:tcPr>
            <w:tcW w:w="69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sz w:val="21"/>
                <w:szCs w:val="21"/>
              </w:rPr>
            </w:pPr>
          </w:p>
        </w:tc>
        <w:tc>
          <w:tcPr>
            <w:tcW w:w="1212" w:type="pct"/>
            <w:vMerge w:val="continue"/>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rPr>
                <w:rFonts w:eastAsia="仿宋"/>
                <w:color w:val="000000"/>
                <w:sz w:val="21"/>
                <w:szCs w:val="21"/>
              </w:rPr>
            </w:pPr>
          </w:p>
        </w:tc>
        <w:tc>
          <w:tcPr>
            <w:tcW w:w="1825" w:type="pct"/>
            <w:tcBorders>
              <w:top w:val="single" w:color="auto" w:sz="4" w:space="0"/>
              <w:left w:val="single" w:color="auto" w:sz="4" w:space="0"/>
              <w:bottom w:val="single" w:color="auto" w:sz="4" w:space="0"/>
              <w:right w:val="single" w:color="auto" w:sz="4" w:space="0"/>
            </w:tcBorders>
            <w:tcMar>
              <w:top w:w="0" w:type="dxa"/>
              <w:left w:w="15" w:type="dxa"/>
              <w:bottom w:w="0" w:type="dxa"/>
              <w:right w:w="15" w:type="dxa"/>
            </w:tcMar>
            <w:vAlign w:val="center"/>
          </w:tcPr>
          <w:p>
            <w:pPr>
              <w:jc w:val="center"/>
              <w:rPr>
                <w:rFonts w:ascii="仿宋" w:hAnsi="仿宋" w:eastAsia="仿宋"/>
                <w:sz w:val="21"/>
                <w:szCs w:val="21"/>
              </w:rPr>
            </w:pPr>
            <w:r>
              <w:rPr>
                <w:rFonts w:hint="eastAsia" w:ascii="仿宋" w:hAnsi="仿宋" w:eastAsia="仿宋"/>
                <w:sz w:val="21"/>
                <w:szCs w:val="21"/>
              </w:rPr>
              <w:t>在建工程赛纳斯城</w:t>
            </w:r>
            <w:r>
              <w:rPr>
                <w:rFonts w:hint="eastAsia" w:ascii="仿宋" w:hAnsi="仿宋" w:eastAsia="仿宋"/>
                <w:b/>
                <w:bCs/>
                <w:sz w:val="21"/>
                <w:szCs w:val="21"/>
              </w:rPr>
              <w:t>住宅7号楼、商业4号楼、商业5号楼</w:t>
            </w:r>
          </w:p>
        </w:tc>
      </w:tr>
    </w:tbl>
    <w:p>
      <w:pPr>
        <w:spacing w:line="360" w:lineRule="auto"/>
        <w:ind w:firstLine="480"/>
        <w:jc w:val="right"/>
        <w:rPr>
          <w:rFonts w:eastAsia="仿宋"/>
          <w:sz w:val="28"/>
          <w:szCs w:val="28"/>
        </w:rPr>
      </w:pPr>
    </w:p>
    <w:p>
      <w:pPr>
        <w:pStyle w:val="3"/>
        <w:numPr>
          <w:ilvl w:val="0"/>
          <w:numId w:val="1"/>
        </w:numPr>
        <w:bidi w:val="0"/>
        <w:ind w:left="-122" w:leftChars="0" w:firstLine="543" w:firstLineChars="193"/>
        <w:rPr>
          <w:rFonts w:hint="eastAsia"/>
          <w:lang w:val="en-US" w:eastAsia="zh-CN"/>
        </w:rPr>
      </w:pPr>
      <w:r>
        <w:rPr>
          <w:rFonts w:hint="eastAsia"/>
          <w:lang w:val="en-US" w:eastAsia="zh-CN"/>
        </w:rPr>
        <w:t>抵押物情况</w:t>
      </w:r>
    </w:p>
    <w:p>
      <w:pPr>
        <w:bidi w:val="0"/>
        <w:ind w:left="0" w:leftChars="0" w:firstLine="422" w:firstLineChars="150"/>
        <w:rPr>
          <w:rFonts w:hint="eastAsia" w:ascii="仿宋" w:hAnsi="仿宋" w:eastAsia="仿宋" w:cs="Times New Roman"/>
          <w:b/>
          <w:bCs/>
          <w:kern w:val="2"/>
          <w:sz w:val="28"/>
          <w:szCs w:val="20"/>
          <w:lang w:val="en-US" w:eastAsia="zh-CN" w:bidi="ar-SA"/>
        </w:rPr>
      </w:pPr>
      <w:r>
        <w:rPr>
          <w:rFonts w:hint="eastAsia" w:ascii="仿宋" w:hAnsi="仿宋" w:eastAsia="仿宋" w:cs="Times New Roman"/>
          <w:b/>
          <w:bCs/>
          <w:kern w:val="2"/>
          <w:sz w:val="28"/>
          <w:szCs w:val="20"/>
          <w:lang w:val="en-US" w:eastAsia="zh-CN" w:bidi="ar-SA"/>
        </w:rPr>
        <w:t>1.抵押物</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仿宋" w:hAnsi="仿宋" w:eastAsia="仿宋" w:cs="Times New Roman"/>
          <w:b w:val="0"/>
          <w:kern w:val="2"/>
          <w:sz w:val="28"/>
          <w:szCs w:val="20"/>
          <w:lang w:val="en-US" w:eastAsia="zh-CN" w:bidi="ar-SA"/>
        </w:rPr>
      </w:pPr>
      <w:r>
        <w:rPr>
          <w:rFonts w:hint="eastAsia" w:ascii="仿宋" w:hAnsi="仿宋" w:eastAsia="仿宋" w:cs="Times New Roman"/>
          <w:b w:val="0"/>
          <w:kern w:val="2"/>
          <w:sz w:val="28"/>
          <w:szCs w:val="20"/>
          <w:lang w:val="en-US" w:eastAsia="zh-CN" w:bidi="ar-SA"/>
        </w:rPr>
        <w:t>本项目抵押物系由闽峰房地产提供的两宗土地使用权及地上在建工程，详情如下：</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60" w:lineRule="exact"/>
        <w:ind w:left="78" w:leftChars="0" w:firstLine="562" w:firstLineChars="0"/>
        <w:textAlignment w:val="auto"/>
        <w:rPr>
          <w:rFonts w:hint="eastAsia" w:ascii="仿宋" w:hAnsi="仿宋" w:eastAsia="仿宋" w:cs="Times New Roman"/>
          <w:b/>
          <w:bCs/>
          <w:kern w:val="2"/>
          <w:sz w:val="28"/>
          <w:szCs w:val="20"/>
          <w:lang w:val="en-US" w:eastAsia="zh-CN" w:bidi="ar-SA"/>
        </w:rPr>
      </w:pPr>
      <w:r>
        <w:rPr>
          <w:rFonts w:hint="eastAsia" w:ascii="仿宋" w:hAnsi="仿宋" w:eastAsia="仿宋" w:cs="Times New Roman"/>
          <w:b/>
          <w:bCs/>
          <w:kern w:val="2"/>
          <w:sz w:val="28"/>
          <w:szCs w:val="20"/>
          <w:lang w:val="en-US" w:eastAsia="zh-CN" w:bidi="ar-SA"/>
        </w:rPr>
        <w:t>土地使用权（已经全部盖上房产，无法处置）</w:t>
      </w:r>
    </w:p>
    <w:tbl>
      <w:tblPr>
        <w:tblStyle w:val="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3025"/>
        <w:gridCol w:w="1761"/>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pPr>
              <w:jc w:val="center"/>
              <w:rPr>
                <w:rFonts w:hint="eastAsia" w:ascii="仿宋" w:hAnsi="仿宋" w:eastAsia="仿宋"/>
                <w:b/>
                <w:bCs/>
                <w:sz w:val="21"/>
                <w:szCs w:val="21"/>
                <w:lang w:val="en-US" w:eastAsia="zh-CN"/>
              </w:rPr>
            </w:pPr>
            <w:r>
              <w:rPr>
                <w:rFonts w:hint="eastAsia" w:ascii="仿宋" w:hAnsi="仿宋" w:eastAsia="仿宋"/>
                <w:b/>
                <w:bCs/>
                <w:sz w:val="21"/>
                <w:szCs w:val="21"/>
                <w:lang w:val="en-US" w:eastAsia="zh-CN"/>
              </w:rPr>
              <w:t>序号</w:t>
            </w:r>
          </w:p>
        </w:tc>
        <w:tc>
          <w:tcPr>
            <w:tcW w:w="1775" w:type="pct"/>
            <w:vAlign w:val="center"/>
          </w:tcPr>
          <w:p>
            <w:pPr>
              <w:jc w:val="center"/>
              <w:rPr>
                <w:rFonts w:hint="eastAsia" w:ascii="仿宋" w:hAnsi="仿宋" w:eastAsia="仿宋"/>
                <w:b/>
                <w:bCs/>
                <w:sz w:val="21"/>
                <w:szCs w:val="21"/>
                <w:lang w:val="en-US" w:eastAsia="zh-CN"/>
              </w:rPr>
            </w:pPr>
            <w:r>
              <w:rPr>
                <w:rFonts w:hint="eastAsia" w:ascii="仿宋" w:hAnsi="仿宋" w:eastAsia="仿宋"/>
                <w:b/>
                <w:bCs/>
                <w:sz w:val="21"/>
                <w:szCs w:val="21"/>
                <w:lang w:val="en-US" w:eastAsia="zh-CN"/>
              </w:rPr>
              <w:t>土地证号</w:t>
            </w:r>
          </w:p>
        </w:tc>
        <w:tc>
          <w:tcPr>
            <w:tcW w:w="1033" w:type="pct"/>
            <w:vAlign w:val="center"/>
          </w:tcPr>
          <w:p>
            <w:pPr>
              <w:jc w:val="center"/>
              <w:rPr>
                <w:rFonts w:hint="eastAsia" w:ascii="仿宋" w:hAnsi="仿宋" w:eastAsia="仿宋"/>
                <w:b/>
                <w:bCs/>
                <w:sz w:val="21"/>
                <w:szCs w:val="21"/>
                <w:lang w:val="en-US" w:eastAsia="zh-CN"/>
              </w:rPr>
            </w:pPr>
            <w:r>
              <w:rPr>
                <w:rFonts w:hint="eastAsia" w:ascii="仿宋" w:hAnsi="仿宋" w:eastAsia="仿宋"/>
                <w:b/>
                <w:bCs/>
                <w:sz w:val="21"/>
                <w:szCs w:val="21"/>
                <w:lang w:val="en-US" w:eastAsia="zh-CN"/>
              </w:rPr>
              <w:t>面积（㎡）</w:t>
            </w:r>
          </w:p>
        </w:tc>
        <w:tc>
          <w:tcPr>
            <w:tcW w:w="1744" w:type="pct"/>
            <w:vAlign w:val="center"/>
          </w:tcPr>
          <w:p>
            <w:pPr>
              <w:jc w:val="center"/>
              <w:rPr>
                <w:rFonts w:hint="eastAsia" w:ascii="仿宋" w:hAnsi="仿宋" w:eastAsia="仿宋"/>
                <w:b/>
                <w:bCs/>
                <w:sz w:val="21"/>
                <w:szCs w:val="21"/>
                <w:lang w:val="en-US" w:eastAsia="zh-CN"/>
              </w:rPr>
            </w:pPr>
            <w:r>
              <w:rPr>
                <w:rFonts w:hint="eastAsia" w:ascii="仿宋" w:hAnsi="仿宋" w:eastAsia="仿宋"/>
                <w:b/>
                <w:bCs/>
                <w:sz w:val="21"/>
                <w:szCs w:val="21"/>
                <w:lang w:val="en-US" w:eastAsia="zh-CN"/>
              </w:rPr>
              <w:t>坐落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pPr>
              <w:jc w:val="center"/>
              <w:rPr>
                <w:rFonts w:hint="eastAsia" w:ascii="仿宋" w:hAnsi="仿宋" w:eastAsia="仿宋"/>
                <w:sz w:val="21"/>
                <w:szCs w:val="21"/>
                <w:lang w:val="en-US" w:eastAsia="zh-CN"/>
              </w:rPr>
            </w:pPr>
            <w:r>
              <w:rPr>
                <w:rFonts w:hint="eastAsia" w:ascii="仿宋" w:hAnsi="仿宋" w:eastAsia="仿宋"/>
                <w:sz w:val="21"/>
                <w:szCs w:val="21"/>
                <w:lang w:val="en-US" w:eastAsia="zh-CN"/>
              </w:rPr>
              <w:t>1</w:t>
            </w:r>
          </w:p>
        </w:tc>
        <w:tc>
          <w:tcPr>
            <w:tcW w:w="1775" w:type="pct"/>
            <w:vAlign w:val="center"/>
          </w:tcPr>
          <w:p>
            <w:pPr>
              <w:jc w:val="center"/>
              <w:rPr>
                <w:rFonts w:hint="eastAsia" w:ascii="仿宋" w:hAnsi="仿宋" w:eastAsia="仿宋"/>
                <w:sz w:val="21"/>
                <w:szCs w:val="21"/>
                <w:lang w:val="en-US" w:eastAsia="zh-CN"/>
              </w:rPr>
            </w:pPr>
            <w:r>
              <w:rPr>
                <w:rFonts w:hint="eastAsia" w:ascii="仿宋" w:hAnsi="仿宋" w:eastAsia="仿宋"/>
                <w:sz w:val="21"/>
                <w:szCs w:val="21"/>
              </w:rPr>
              <w:t>市中国用（2012）第0051号</w:t>
            </w:r>
          </w:p>
        </w:tc>
        <w:tc>
          <w:tcPr>
            <w:tcW w:w="1033" w:type="pct"/>
            <w:vAlign w:val="center"/>
          </w:tcPr>
          <w:p>
            <w:pPr>
              <w:jc w:val="center"/>
              <w:rPr>
                <w:rFonts w:hint="eastAsia" w:ascii="仿宋" w:hAnsi="仿宋" w:eastAsia="仿宋"/>
                <w:sz w:val="21"/>
                <w:szCs w:val="21"/>
                <w:lang w:val="en-US" w:eastAsia="zh-CN"/>
              </w:rPr>
            </w:pPr>
            <w:r>
              <w:rPr>
                <w:rFonts w:hint="eastAsia" w:ascii="仿宋" w:hAnsi="仿宋" w:eastAsia="仿宋"/>
                <w:sz w:val="21"/>
                <w:szCs w:val="21"/>
              </w:rPr>
              <w:t>16795.16</w:t>
            </w:r>
          </w:p>
        </w:tc>
        <w:tc>
          <w:tcPr>
            <w:tcW w:w="1744" w:type="pct"/>
            <w:vAlign w:val="center"/>
          </w:tcPr>
          <w:p>
            <w:pPr>
              <w:jc w:val="center"/>
              <w:rPr>
                <w:rFonts w:hint="eastAsia" w:ascii="仿宋" w:hAnsi="仿宋" w:eastAsia="仿宋"/>
                <w:sz w:val="21"/>
                <w:szCs w:val="21"/>
                <w:lang w:val="en-US" w:eastAsia="zh-CN"/>
              </w:rPr>
            </w:pPr>
            <w:r>
              <w:rPr>
                <w:rFonts w:hint="eastAsia" w:ascii="仿宋" w:hAnsi="仿宋" w:eastAsia="仿宋"/>
                <w:sz w:val="21"/>
                <w:szCs w:val="21"/>
                <w:lang w:val="en-US" w:eastAsia="zh-CN"/>
              </w:rPr>
              <w:t>枣庄市广济路北、青檀路西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pPr>
              <w:jc w:val="center"/>
              <w:rPr>
                <w:rFonts w:hint="eastAsia" w:ascii="仿宋" w:hAnsi="仿宋" w:eastAsia="仿宋"/>
                <w:sz w:val="21"/>
                <w:szCs w:val="21"/>
                <w:lang w:val="en-US" w:eastAsia="zh-CN"/>
              </w:rPr>
            </w:pPr>
            <w:r>
              <w:rPr>
                <w:rFonts w:hint="eastAsia" w:ascii="仿宋" w:hAnsi="仿宋" w:eastAsia="仿宋"/>
                <w:sz w:val="21"/>
                <w:szCs w:val="21"/>
                <w:lang w:val="en-US" w:eastAsia="zh-CN"/>
              </w:rPr>
              <w:t>2</w:t>
            </w:r>
          </w:p>
        </w:tc>
        <w:tc>
          <w:tcPr>
            <w:tcW w:w="1775" w:type="pct"/>
            <w:vAlign w:val="center"/>
          </w:tcPr>
          <w:p>
            <w:pPr>
              <w:jc w:val="center"/>
              <w:rPr>
                <w:rFonts w:hint="eastAsia" w:ascii="仿宋" w:hAnsi="仿宋" w:eastAsia="仿宋"/>
                <w:sz w:val="21"/>
                <w:szCs w:val="21"/>
                <w:lang w:val="en-US" w:eastAsia="zh-CN"/>
              </w:rPr>
            </w:pPr>
            <w:r>
              <w:rPr>
                <w:rFonts w:hint="eastAsia" w:ascii="仿宋" w:hAnsi="仿宋" w:eastAsia="仿宋"/>
                <w:sz w:val="21"/>
                <w:szCs w:val="21"/>
              </w:rPr>
              <w:t>市中国用（2012）第005</w:t>
            </w:r>
            <w:r>
              <w:rPr>
                <w:rFonts w:hint="eastAsia" w:ascii="仿宋" w:hAnsi="仿宋" w:eastAsia="仿宋"/>
                <w:sz w:val="21"/>
                <w:szCs w:val="21"/>
                <w:lang w:val="en-US" w:eastAsia="zh-CN"/>
              </w:rPr>
              <w:t>2</w:t>
            </w:r>
            <w:r>
              <w:rPr>
                <w:rFonts w:hint="eastAsia" w:ascii="仿宋" w:hAnsi="仿宋" w:eastAsia="仿宋"/>
                <w:sz w:val="21"/>
                <w:szCs w:val="21"/>
              </w:rPr>
              <w:t>号</w:t>
            </w:r>
          </w:p>
        </w:tc>
        <w:tc>
          <w:tcPr>
            <w:tcW w:w="1033" w:type="pct"/>
            <w:vAlign w:val="center"/>
          </w:tcPr>
          <w:p>
            <w:pPr>
              <w:jc w:val="center"/>
              <w:rPr>
                <w:rFonts w:hint="eastAsia" w:ascii="仿宋" w:hAnsi="仿宋" w:eastAsia="仿宋"/>
                <w:sz w:val="21"/>
                <w:szCs w:val="21"/>
                <w:lang w:val="en-US" w:eastAsia="zh-CN"/>
              </w:rPr>
            </w:pPr>
            <w:r>
              <w:rPr>
                <w:rFonts w:hint="eastAsia" w:ascii="仿宋" w:hAnsi="仿宋" w:eastAsia="仿宋"/>
                <w:sz w:val="21"/>
                <w:szCs w:val="21"/>
              </w:rPr>
              <w:t>40405.76</w:t>
            </w:r>
          </w:p>
        </w:tc>
        <w:tc>
          <w:tcPr>
            <w:tcW w:w="1744" w:type="pct"/>
            <w:vAlign w:val="center"/>
          </w:tcPr>
          <w:p>
            <w:pPr>
              <w:jc w:val="center"/>
              <w:rPr>
                <w:rFonts w:hint="eastAsia" w:ascii="仿宋" w:hAnsi="仿宋" w:eastAsia="仿宋"/>
                <w:sz w:val="21"/>
                <w:szCs w:val="21"/>
                <w:lang w:val="en-US" w:eastAsia="zh-CN"/>
              </w:rPr>
            </w:pPr>
            <w:r>
              <w:rPr>
                <w:rFonts w:hint="eastAsia" w:ascii="仿宋" w:hAnsi="仿宋" w:eastAsia="仿宋"/>
                <w:sz w:val="21"/>
                <w:szCs w:val="21"/>
                <w:lang w:val="en-US" w:eastAsia="zh-CN"/>
              </w:rPr>
              <w:t>枣庄市广济路北、青檀路西</w:t>
            </w:r>
          </w:p>
        </w:tc>
      </w:tr>
    </w:tbl>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78" w:leftChars="0" w:firstLine="562" w:firstLineChars="0"/>
        <w:textAlignment w:val="auto"/>
        <w:rPr>
          <w:rFonts w:hint="eastAsia"/>
          <w:lang w:val="en-US" w:eastAsia="zh-CN"/>
        </w:rPr>
      </w:pPr>
      <w:r>
        <w:rPr>
          <w:rFonts w:hint="eastAsia" w:ascii="仿宋" w:hAnsi="仿宋" w:eastAsia="仿宋" w:cs="Times New Roman"/>
          <w:b/>
          <w:bCs/>
          <w:kern w:val="2"/>
          <w:sz w:val="28"/>
          <w:szCs w:val="20"/>
          <w:lang w:val="en-US" w:eastAsia="zh-CN" w:bidi="ar-SA"/>
        </w:rPr>
        <w:t>在建工程抵押情况</w:t>
      </w:r>
    </w:p>
    <w:p>
      <w:pPr>
        <w:pStyle w:val="2"/>
        <w:numPr>
          <w:ilvl w:val="0"/>
          <w:numId w:val="0"/>
        </w:numPr>
        <w:spacing w:line="240" w:lineRule="auto"/>
        <w:ind w:left="0" w:leftChars="0" w:firstLine="638" w:firstLineChars="228"/>
        <w:rPr>
          <w:rFonts w:hint="eastAsia" w:ascii="仿宋" w:hAnsi="仿宋" w:eastAsia="仿宋" w:cs="Times New Roman"/>
          <w:b/>
          <w:bCs/>
          <w:kern w:val="2"/>
          <w:sz w:val="28"/>
          <w:szCs w:val="20"/>
          <w:lang w:val="en-US" w:eastAsia="zh-CN" w:bidi="ar-SA"/>
        </w:rPr>
      </w:pPr>
      <w:r>
        <w:rPr>
          <w:rFonts w:hint="eastAsia" w:ascii="仿宋" w:hAnsi="仿宋" w:eastAsia="仿宋" w:cs="Times New Roman"/>
          <w:b w:val="0"/>
          <w:kern w:val="2"/>
          <w:sz w:val="28"/>
          <w:szCs w:val="20"/>
          <w:lang w:val="en-US" w:eastAsia="zh-CN" w:bidi="ar-SA"/>
        </w:rPr>
        <w:t>抵押在建工程总面积121,571.47平方米</w:t>
      </w:r>
      <w:r>
        <w:rPr>
          <w:rFonts w:hint="eastAsia" w:ascii="仿宋" w:hAnsi="仿宋" w:eastAsia="仿宋" w:cs="Times New Roman"/>
          <w:b/>
          <w:bCs/>
          <w:kern w:val="2"/>
          <w:sz w:val="28"/>
          <w:szCs w:val="20"/>
          <w:lang w:val="en-US" w:eastAsia="zh-CN" w:bidi="ar-SA"/>
        </w:rPr>
        <w:t>（赛纳斯城1-15号住宅+2、3、4、5、11号商业，抵押849套）。</w:t>
      </w:r>
    </w:p>
    <w:p>
      <w:pPr>
        <w:rPr>
          <w:rFonts w:hint="default"/>
          <w:lang w:val="en-US" w:eastAsia="zh-CN"/>
        </w:rPr>
      </w:pPr>
      <w:r>
        <w:rPr>
          <w:rFonts w:hint="eastAsia" w:ascii="仿宋" w:hAnsi="仿宋" w:eastAsia="仿宋" w:cs="Times New Roman"/>
          <w:b/>
          <w:bCs/>
          <w:kern w:val="2"/>
          <w:sz w:val="28"/>
          <w:szCs w:val="20"/>
          <w:lang w:val="en-US" w:eastAsia="zh-CN" w:bidi="ar-SA"/>
        </w:rPr>
        <w:t xml:space="preserve">     （3）查封情况</w:t>
      </w:r>
    </w:p>
    <w:p>
      <w:pPr>
        <w:pStyle w:val="2"/>
        <w:numPr>
          <w:ilvl w:val="0"/>
          <w:numId w:val="3"/>
        </w:numPr>
        <w:spacing w:line="240" w:lineRule="auto"/>
        <w:ind w:left="0" w:leftChars="0" w:firstLine="562" w:firstLineChars="200"/>
        <w:rPr>
          <w:rFonts w:hint="eastAsia" w:ascii="仿宋" w:hAnsi="仿宋" w:eastAsia="仿宋" w:cs="Times New Roman"/>
          <w:b/>
          <w:bCs/>
          <w:kern w:val="2"/>
          <w:sz w:val="28"/>
          <w:szCs w:val="20"/>
          <w:lang w:val="en-US" w:eastAsia="zh-CN" w:bidi="ar-SA"/>
        </w:rPr>
      </w:pPr>
      <w:r>
        <w:rPr>
          <w:rFonts w:hint="eastAsia" w:ascii="仿宋" w:hAnsi="仿宋" w:eastAsia="仿宋" w:cs="Times New Roman"/>
          <w:b/>
          <w:bCs/>
          <w:kern w:val="2"/>
          <w:sz w:val="28"/>
          <w:szCs w:val="20"/>
          <w:highlight w:val="yellow"/>
          <w:lang w:val="en-US" w:eastAsia="zh-CN" w:bidi="ar-SA"/>
        </w:rPr>
        <w:t>预查封了闽峰房地产名下土地，不动产登记中心显示68502.0757平方米（参照下面价格，剩余土地价格3.085亿元）</w:t>
      </w:r>
      <w:r>
        <w:rPr>
          <w:rFonts w:hint="eastAsia" w:ascii="仿宋" w:hAnsi="仿宋" w:eastAsia="仿宋" w:cs="Times New Roman"/>
          <w:b/>
          <w:bCs/>
          <w:kern w:val="2"/>
          <w:sz w:val="28"/>
          <w:szCs w:val="20"/>
          <w:lang w:val="en-US" w:eastAsia="zh-CN" w:bidi="ar-SA"/>
        </w:rPr>
        <w:t>（未扣除2019年已经公开转让39963平方米，原来该宗土地成交价格1.8亿元）</w:t>
      </w:r>
    </w:p>
    <w:p>
      <w:pPr>
        <w:pStyle w:val="2"/>
        <w:numPr>
          <w:ilvl w:val="0"/>
          <w:numId w:val="0"/>
        </w:numPr>
        <w:spacing w:line="240" w:lineRule="auto"/>
        <w:ind w:left="0" w:leftChars="0" w:firstLine="0" w:firstLineChars="0"/>
      </w:pPr>
      <w:r>
        <w:drawing>
          <wp:inline distT="0" distB="0" distL="114300" distR="114300">
            <wp:extent cx="5273040" cy="3001010"/>
            <wp:effectExtent l="0" t="0" r="3810"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
                    <a:stretch>
                      <a:fillRect/>
                    </a:stretch>
                  </pic:blipFill>
                  <pic:spPr>
                    <a:xfrm>
                      <a:off x="0" y="0"/>
                      <a:ext cx="5273040" cy="3001010"/>
                    </a:xfrm>
                    <a:prstGeom prst="rect">
                      <a:avLst/>
                    </a:prstGeom>
                    <a:noFill/>
                    <a:ln>
                      <a:noFill/>
                    </a:ln>
                  </pic:spPr>
                </pic:pic>
              </a:graphicData>
            </a:graphic>
          </wp:inline>
        </w:drawing>
      </w:r>
      <w:r>
        <w:rPr>
          <w:rFonts w:hint="eastAsia" w:ascii="仿宋" w:hAnsi="仿宋" w:eastAsia="仿宋" w:cs="Times New Roman"/>
          <w:b w:val="0"/>
          <w:kern w:val="2"/>
          <w:sz w:val="28"/>
          <w:szCs w:val="20"/>
          <w:lang w:val="en-US" w:eastAsia="zh-CN" w:bidi="ar-SA"/>
        </w:rPr>
        <w:br w:type="textWrapping"/>
      </w:r>
      <w:r>
        <w:drawing>
          <wp:inline distT="0" distB="0" distL="114300" distR="114300">
            <wp:extent cx="5269230" cy="468376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230" cy="4683760"/>
                    </a:xfrm>
                    <a:prstGeom prst="rect">
                      <a:avLst/>
                    </a:prstGeom>
                    <a:noFill/>
                    <a:ln>
                      <a:noFill/>
                    </a:ln>
                  </pic:spPr>
                </pic:pic>
              </a:graphicData>
            </a:graphic>
          </wp:inline>
        </w:drawing>
      </w:r>
    </w:p>
    <w:p>
      <w:pPr>
        <w:rPr>
          <w:rFonts w:hint="eastAsia"/>
          <w:lang w:val="en-US" w:eastAsia="zh-CN"/>
        </w:rPr>
      </w:pPr>
      <w:r>
        <w:drawing>
          <wp:inline distT="0" distB="0" distL="114300" distR="114300">
            <wp:extent cx="5266690" cy="3224530"/>
            <wp:effectExtent l="0" t="0" r="1016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6690" cy="3224530"/>
                    </a:xfrm>
                    <a:prstGeom prst="rect">
                      <a:avLst/>
                    </a:prstGeom>
                    <a:noFill/>
                    <a:ln>
                      <a:noFill/>
                    </a:ln>
                  </pic:spPr>
                </pic:pic>
              </a:graphicData>
            </a:graphic>
          </wp:inline>
        </w:drawing>
      </w:r>
    </w:p>
    <w:p>
      <w:pPr>
        <w:rPr>
          <w:rFonts w:hint="eastAsia" w:ascii="仿宋" w:hAnsi="仿宋" w:eastAsia="仿宋" w:cs="Times New Roman"/>
          <w:b w:val="0"/>
          <w:kern w:val="2"/>
          <w:sz w:val="28"/>
          <w:szCs w:val="20"/>
          <w:lang w:val="en-US" w:eastAsia="zh-CN" w:bidi="ar-SA"/>
        </w:rPr>
      </w:pPr>
    </w:p>
    <w:p>
      <w:pPr>
        <w:pStyle w:val="2"/>
        <w:numPr>
          <w:ilvl w:val="0"/>
          <w:numId w:val="3"/>
        </w:numPr>
        <w:spacing w:line="240" w:lineRule="auto"/>
        <w:ind w:left="0" w:leftChars="0" w:firstLine="562" w:firstLineChars="200"/>
        <w:rPr>
          <w:rFonts w:hint="eastAsia" w:ascii="仿宋" w:hAnsi="仿宋" w:eastAsia="仿宋" w:cs="Times New Roman"/>
          <w:b/>
          <w:bCs/>
          <w:kern w:val="2"/>
          <w:sz w:val="28"/>
          <w:szCs w:val="20"/>
          <w:lang w:val="en-US" w:eastAsia="zh-CN" w:bidi="ar-SA"/>
        </w:rPr>
      </w:pPr>
      <w:r>
        <w:rPr>
          <w:rFonts w:hint="eastAsia" w:ascii="仿宋" w:hAnsi="仿宋" w:eastAsia="仿宋" w:cs="Times New Roman"/>
          <w:b/>
          <w:bCs/>
          <w:kern w:val="2"/>
          <w:sz w:val="28"/>
          <w:szCs w:val="20"/>
          <w:lang w:val="en-US" w:eastAsia="zh-CN" w:bidi="ar-SA"/>
        </w:rPr>
        <w:t>抵押套数849套、建行查封的772套，目前剩769套房产（仍在查封中）</w:t>
      </w:r>
    </w:p>
    <w:p>
      <w:pPr>
        <w:pStyle w:val="2"/>
        <w:numPr>
          <w:ilvl w:val="0"/>
          <w:numId w:val="0"/>
        </w:numPr>
        <w:spacing w:line="240" w:lineRule="auto"/>
        <w:ind w:left="0" w:leftChars="0" w:firstLine="638" w:firstLineChars="228"/>
        <w:rPr>
          <w:rFonts w:hint="default" w:ascii="仿宋" w:hAnsi="仿宋" w:eastAsia="仿宋" w:cs="Times New Roman"/>
          <w:b/>
          <w:bCs/>
          <w:kern w:val="2"/>
          <w:sz w:val="28"/>
          <w:szCs w:val="20"/>
          <w:lang w:val="en-US" w:eastAsia="zh-CN" w:bidi="ar-SA"/>
        </w:rPr>
      </w:pPr>
      <w:r>
        <w:rPr>
          <w:rFonts w:hint="eastAsia" w:ascii="仿宋" w:hAnsi="仿宋" w:eastAsia="仿宋" w:cs="Times New Roman"/>
          <w:b w:val="0"/>
          <w:kern w:val="2"/>
          <w:sz w:val="28"/>
          <w:szCs w:val="20"/>
          <w:lang w:val="en-US" w:eastAsia="zh-CN" w:bidi="ar-SA"/>
        </w:rPr>
        <w:t>建行在2016年7月25日查封了772套房产</w:t>
      </w:r>
      <w:r>
        <w:rPr>
          <w:rFonts w:hint="eastAsia" w:ascii="仿宋" w:hAnsi="仿宋" w:eastAsia="仿宋" w:cs="Times New Roman"/>
          <w:b w:val="0"/>
          <w:bCs w:val="0"/>
          <w:kern w:val="2"/>
          <w:sz w:val="28"/>
          <w:szCs w:val="20"/>
          <w:lang w:val="en-US" w:eastAsia="zh-CN" w:bidi="ar-SA"/>
        </w:rPr>
        <w:t>（后3套因执行异议已解除查封，查封到期日为2025年6月21日），</w:t>
      </w:r>
      <w:r>
        <w:rPr>
          <w:rFonts w:hint="eastAsia" w:ascii="仿宋" w:hAnsi="仿宋" w:eastAsia="仿宋" w:cs="Times New Roman"/>
          <w:b w:val="0"/>
          <w:kern w:val="2"/>
          <w:sz w:val="28"/>
          <w:szCs w:val="20"/>
          <w:lang w:val="en-US" w:eastAsia="zh-CN" w:bidi="ar-SA"/>
        </w:rPr>
        <w:t>目前</w:t>
      </w:r>
      <w:r>
        <w:rPr>
          <w:rFonts w:hint="eastAsia" w:ascii="仿宋" w:hAnsi="仿宋" w:eastAsia="仿宋" w:cs="Times New Roman"/>
          <w:b/>
          <w:bCs/>
          <w:kern w:val="2"/>
          <w:sz w:val="28"/>
          <w:szCs w:val="20"/>
          <w:lang w:val="en-US" w:eastAsia="zh-CN" w:bidi="ar-SA"/>
        </w:rPr>
        <w:t>剩余769套查封。</w:t>
      </w:r>
    </w:p>
    <w:p>
      <w:pPr>
        <w:rPr>
          <w:rFonts w:hint="eastAsia" w:ascii="仿宋" w:hAnsi="仿宋" w:eastAsia="仿宋" w:cs="Times New Roman"/>
          <w:b w:val="0"/>
          <w:kern w:val="2"/>
          <w:sz w:val="28"/>
          <w:szCs w:val="20"/>
          <w:lang w:val="en-US" w:eastAsia="zh-CN" w:bidi="ar-SA"/>
        </w:rPr>
      </w:pPr>
      <w:r>
        <w:drawing>
          <wp:inline distT="0" distB="0" distL="114300" distR="114300">
            <wp:extent cx="5271135" cy="4589145"/>
            <wp:effectExtent l="0" t="0" r="571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271135" cy="4589145"/>
                    </a:xfrm>
                    <a:prstGeom prst="rect">
                      <a:avLst/>
                    </a:prstGeom>
                    <a:noFill/>
                    <a:ln>
                      <a:noFill/>
                    </a:ln>
                  </pic:spPr>
                </pic:pic>
              </a:graphicData>
            </a:graphic>
          </wp:inline>
        </w:drawing>
      </w:r>
    </w:p>
    <w:p>
      <w:pPr>
        <w:pStyle w:val="2"/>
        <w:numPr>
          <w:ilvl w:val="0"/>
          <w:numId w:val="3"/>
        </w:numPr>
        <w:spacing w:line="240" w:lineRule="auto"/>
        <w:ind w:left="0" w:leftChars="0" w:firstLine="562" w:firstLineChars="200"/>
        <w:rPr>
          <w:rFonts w:hint="eastAsia" w:ascii="仿宋" w:hAnsi="仿宋" w:eastAsia="仿宋" w:cs="Times New Roman"/>
          <w:b/>
          <w:bCs/>
          <w:kern w:val="2"/>
          <w:sz w:val="28"/>
          <w:szCs w:val="20"/>
          <w:lang w:val="en-US" w:eastAsia="zh-CN" w:bidi="ar-SA"/>
        </w:rPr>
      </w:pPr>
      <w:r>
        <w:rPr>
          <w:rFonts w:hint="eastAsia" w:ascii="仿宋" w:hAnsi="仿宋" w:eastAsia="仿宋" w:cs="Times New Roman"/>
          <w:b/>
          <w:bCs/>
          <w:kern w:val="2"/>
          <w:sz w:val="28"/>
          <w:szCs w:val="20"/>
          <w:lang w:val="en-US" w:eastAsia="zh-CN" w:bidi="ar-SA"/>
        </w:rPr>
        <w:t>信达于2022年4月将不动产登记中心中无抵押无查封的85套房产进行了查封</w:t>
      </w:r>
    </w:p>
    <w:p>
      <w:pPr>
        <w:pStyle w:val="2"/>
        <w:ind w:firstLine="562" w:firstLineChars="200"/>
        <w:jc w:val="left"/>
        <w:rPr>
          <w:rFonts w:hint="eastAsia" w:ascii="仿宋" w:hAnsi="仿宋" w:eastAsia="仿宋" w:cs="Times New Roman"/>
          <w:b/>
          <w:bCs/>
          <w:kern w:val="2"/>
          <w:sz w:val="28"/>
          <w:szCs w:val="20"/>
          <w:lang w:val="en-US" w:eastAsia="zh-CN" w:bidi="ar-SA"/>
        </w:rPr>
      </w:pPr>
      <w:r>
        <w:rPr>
          <w:rFonts w:hint="eastAsia" w:ascii="仿宋" w:hAnsi="仿宋" w:eastAsia="仿宋" w:cs="Times New Roman"/>
          <w:b/>
          <w:bCs/>
          <w:kern w:val="2"/>
          <w:sz w:val="28"/>
          <w:szCs w:val="20"/>
          <w:lang w:val="en-US" w:eastAsia="zh-CN" w:bidi="ar-SA"/>
        </w:rPr>
        <w:t>2022年4月又查封了闽峰名下无抵押无查封的85套房产，累计查封854套房产。</w:t>
      </w:r>
    </w:p>
    <w:p>
      <w:pPr>
        <w:numPr>
          <w:ilvl w:val="0"/>
          <w:numId w:val="1"/>
        </w:numPr>
        <w:spacing w:line="600" w:lineRule="exact"/>
        <w:ind w:left="-122" w:leftChars="0" w:firstLine="543" w:firstLineChars="193"/>
        <w:rPr>
          <w:rFonts w:hint="eastAsia" w:ascii="仿宋" w:hAnsi="仿宋" w:eastAsia="仿宋" w:cs="Times New Roman"/>
          <w:b/>
          <w:bCs/>
          <w:kern w:val="2"/>
          <w:sz w:val="28"/>
          <w:szCs w:val="20"/>
          <w:highlight w:val="yellow"/>
          <w:lang w:val="en-US" w:eastAsia="zh-CN" w:bidi="ar-SA"/>
        </w:rPr>
      </w:pPr>
      <w:r>
        <w:rPr>
          <w:rFonts w:hint="eastAsia" w:ascii="仿宋" w:hAnsi="仿宋" w:eastAsia="仿宋" w:cs="Times New Roman"/>
          <w:b/>
          <w:bCs/>
          <w:kern w:val="2"/>
          <w:sz w:val="28"/>
          <w:szCs w:val="20"/>
          <w:highlight w:val="yellow"/>
          <w:lang w:val="en-US" w:eastAsia="zh-CN" w:bidi="ar-SA"/>
        </w:rPr>
        <w:t>债权价值</w:t>
      </w:r>
    </w:p>
    <w:p>
      <w:pPr>
        <w:pStyle w:val="2"/>
        <w:numPr>
          <w:ilvl w:val="0"/>
          <w:numId w:val="0"/>
        </w:numPr>
        <w:ind w:firstLine="560" w:firstLineChars="200"/>
        <w:rPr>
          <w:rFonts w:hint="eastAsia" w:ascii="仿宋" w:hAnsi="仿宋" w:eastAsia="仿宋" w:cs="Times New Roman"/>
          <w:b w:val="0"/>
          <w:kern w:val="2"/>
          <w:sz w:val="28"/>
          <w:szCs w:val="24"/>
          <w:lang w:val="en-US" w:eastAsia="zh-CN" w:bidi="ar-SA"/>
        </w:rPr>
      </w:pPr>
      <w:r>
        <w:rPr>
          <w:rFonts w:hint="eastAsia" w:ascii="仿宋" w:hAnsi="仿宋" w:eastAsia="仿宋" w:cs="Times New Roman"/>
          <w:b w:val="0"/>
          <w:kern w:val="2"/>
          <w:sz w:val="28"/>
          <w:szCs w:val="24"/>
          <w:lang w:val="en-US" w:eastAsia="zh-CN" w:bidi="ar-SA"/>
        </w:rPr>
        <w:t>目前抵押房产849套，但从里面扣除回迁安置的剩余</w:t>
      </w:r>
    </w:p>
    <w:p>
      <w:pPr>
        <w:spacing w:line="600" w:lineRule="exact"/>
        <w:ind w:firstLine="562" w:firstLineChars="200"/>
        <w:rPr>
          <w:rFonts w:hint="eastAsia" w:ascii="仿宋" w:hAnsi="仿宋" w:eastAsia="仿宋"/>
          <w:b/>
          <w:bCs/>
          <w:color w:val="auto"/>
          <w:sz w:val="28"/>
          <w:highlight w:val="none"/>
          <w:lang w:val="en-US" w:eastAsia="zh-CN"/>
        </w:rPr>
      </w:pPr>
      <w:r>
        <w:rPr>
          <w:rFonts w:hint="eastAsia" w:ascii="仿宋" w:hAnsi="仿宋" w:eastAsia="仿宋"/>
          <w:b/>
          <w:bCs/>
          <w:color w:val="auto"/>
          <w:sz w:val="28"/>
          <w:highlight w:val="none"/>
          <w:lang w:val="en-US" w:eastAsia="zh-CN"/>
        </w:rPr>
        <w:t>（一）抵押中无拆迁的抵押房产185套</w:t>
      </w:r>
    </w:p>
    <w:p>
      <w:pPr>
        <w:spacing w:line="600" w:lineRule="exact"/>
        <w:ind w:firstLine="560" w:firstLineChars="200"/>
        <w:rPr>
          <w:rFonts w:hint="eastAsia" w:ascii="仿宋" w:hAnsi="仿宋" w:eastAsia="仿宋"/>
          <w:b/>
          <w:bCs/>
          <w:sz w:val="28"/>
          <w:highlight w:val="none"/>
        </w:rPr>
      </w:pPr>
      <w:r>
        <w:rPr>
          <w:rFonts w:hint="eastAsia" w:ascii="仿宋" w:hAnsi="仿宋" w:eastAsia="仿宋"/>
          <w:sz w:val="28"/>
        </w:rPr>
        <w:t>枣庄闽峰房地产开发有限公司项目抵押在建工程共计849套，其中大部分因与拆迁协议冲突难以实现优先受偿权，经本所律师调查，</w:t>
      </w:r>
      <w:r>
        <w:rPr>
          <w:rFonts w:hint="eastAsia" w:ascii="仿宋" w:hAnsi="仿宋" w:eastAsia="仿宋"/>
          <w:b/>
          <w:bCs/>
          <w:sz w:val="28"/>
          <w:highlight w:val="none"/>
        </w:rPr>
        <w:t>抵押在建工程上无拆迁协议的共计1</w:t>
      </w:r>
      <w:r>
        <w:rPr>
          <w:rFonts w:ascii="仿宋" w:hAnsi="仿宋" w:eastAsia="仿宋"/>
          <w:b/>
          <w:bCs/>
          <w:sz w:val="28"/>
          <w:highlight w:val="none"/>
        </w:rPr>
        <w:t>85</w:t>
      </w:r>
      <w:r>
        <w:rPr>
          <w:rFonts w:hint="eastAsia" w:ascii="仿宋" w:hAnsi="仿宋" w:eastAsia="仿宋"/>
          <w:b/>
          <w:bCs/>
          <w:sz w:val="28"/>
          <w:highlight w:val="none"/>
        </w:rPr>
        <w:t>套，其中住宅1</w:t>
      </w:r>
      <w:r>
        <w:rPr>
          <w:rFonts w:ascii="仿宋" w:hAnsi="仿宋" w:eastAsia="仿宋"/>
          <w:b/>
          <w:bCs/>
          <w:sz w:val="28"/>
          <w:highlight w:val="none"/>
        </w:rPr>
        <w:t>34</w:t>
      </w:r>
      <w:r>
        <w:rPr>
          <w:rFonts w:hint="eastAsia" w:ascii="仿宋" w:hAnsi="仿宋" w:eastAsia="仿宋"/>
          <w:b/>
          <w:bCs/>
          <w:sz w:val="28"/>
          <w:highlight w:val="none"/>
        </w:rPr>
        <w:t>套，商铺</w:t>
      </w:r>
      <w:r>
        <w:rPr>
          <w:rFonts w:ascii="仿宋" w:hAnsi="仿宋" w:eastAsia="仿宋"/>
          <w:b/>
          <w:bCs/>
          <w:sz w:val="28"/>
          <w:highlight w:val="none"/>
        </w:rPr>
        <w:t>51</w:t>
      </w:r>
      <w:r>
        <w:rPr>
          <w:rFonts w:hint="eastAsia" w:ascii="仿宋" w:hAnsi="仿宋" w:eastAsia="仿宋"/>
          <w:b/>
          <w:bCs/>
          <w:sz w:val="28"/>
          <w:highlight w:val="none"/>
        </w:rPr>
        <w:t>套，明细如下：</w:t>
      </w:r>
    </w:p>
    <w:p>
      <w:pPr>
        <w:spacing w:line="600" w:lineRule="exact"/>
        <w:ind w:firstLine="560" w:firstLineChars="200"/>
        <w:rPr>
          <w:rFonts w:hint="eastAsia" w:ascii="仿宋" w:hAnsi="仿宋" w:eastAsia="仿宋"/>
          <w:sz w:val="28"/>
          <w:highlight w:val="none"/>
        </w:rPr>
      </w:pPr>
    </w:p>
    <w:tbl>
      <w:tblPr>
        <w:tblStyle w:val="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25"/>
        <w:gridCol w:w="2132"/>
        <w:gridCol w:w="42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b/>
                <w:bCs/>
                <w:sz w:val="24"/>
                <w:szCs w:val="22"/>
                <w:highlight w:val="none"/>
              </w:rPr>
            </w:pPr>
            <w:r>
              <w:rPr>
                <w:rFonts w:hint="eastAsia" w:ascii="仿宋" w:hAnsi="仿宋" w:eastAsia="仿宋"/>
                <w:b/>
                <w:bCs/>
                <w:sz w:val="24"/>
                <w:szCs w:val="22"/>
                <w:highlight w:val="none"/>
                <w:lang w:val="en-US" w:eastAsia="zh-CN"/>
              </w:rPr>
              <w:t>性质</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b/>
                <w:bCs/>
                <w:sz w:val="24"/>
                <w:szCs w:val="22"/>
                <w:highlight w:val="none"/>
              </w:rPr>
            </w:pPr>
            <w:r>
              <w:rPr>
                <w:rFonts w:hint="eastAsia" w:ascii="仿宋" w:hAnsi="仿宋" w:eastAsia="仿宋"/>
                <w:b/>
                <w:bCs/>
                <w:sz w:val="24"/>
                <w:szCs w:val="22"/>
                <w:highlight w:val="none"/>
                <w:lang w:val="en-US" w:eastAsia="zh-CN"/>
              </w:rPr>
              <w:t>户数</w:t>
            </w:r>
          </w:p>
        </w:tc>
        <w:tc>
          <w:tcPr>
            <w:tcW w:w="2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b/>
                <w:bCs/>
                <w:sz w:val="24"/>
                <w:szCs w:val="22"/>
                <w:highlight w:val="none"/>
              </w:rPr>
            </w:pPr>
            <w:r>
              <w:rPr>
                <w:rFonts w:hint="eastAsia" w:ascii="仿宋" w:hAnsi="仿宋" w:eastAsia="仿宋"/>
                <w:b/>
                <w:bCs/>
                <w:sz w:val="24"/>
                <w:szCs w:val="22"/>
                <w:highlight w:val="none"/>
                <w:lang w:val="en-US" w:eastAsia="zh-CN"/>
              </w:rPr>
              <w:t>面积/平方米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b/>
                <w:bCs/>
                <w:sz w:val="24"/>
                <w:szCs w:val="22"/>
                <w:highlight w:val="none"/>
              </w:rPr>
            </w:pPr>
            <w:r>
              <w:rPr>
                <w:rFonts w:hint="eastAsia" w:ascii="仿宋" w:hAnsi="仿宋" w:eastAsia="仿宋"/>
                <w:b/>
                <w:bCs/>
                <w:sz w:val="24"/>
                <w:szCs w:val="22"/>
                <w:highlight w:val="none"/>
                <w:lang w:val="en-US" w:eastAsia="zh-CN"/>
              </w:rPr>
              <w:t>商业</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仿宋" w:hAnsi="仿宋" w:eastAsia="仿宋"/>
                <w:b w:val="0"/>
                <w:bCs w:val="0"/>
                <w:sz w:val="24"/>
                <w:szCs w:val="22"/>
                <w:highlight w:val="none"/>
              </w:rPr>
            </w:pPr>
            <w:r>
              <w:rPr>
                <w:rFonts w:hint="eastAsia" w:ascii="仿宋" w:hAnsi="仿宋" w:eastAsia="仿宋"/>
                <w:b w:val="0"/>
                <w:bCs w:val="0"/>
                <w:sz w:val="24"/>
                <w:szCs w:val="22"/>
                <w:highlight w:val="none"/>
                <w:lang w:val="en-US" w:eastAsia="zh-CN"/>
              </w:rPr>
              <w:t xml:space="preserve">51.00 </w:t>
            </w:r>
          </w:p>
        </w:tc>
        <w:tc>
          <w:tcPr>
            <w:tcW w:w="2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仿宋" w:hAnsi="仿宋" w:eastAsia="仿宋"/>
                <w:b w:val="0"/>
                <w:bCs w:val="0"/>
                <w:sz w:val="24"/>
                <w:szCs w:val="22"/>
                <w:highlight w:val="none"/>
              </w:rPr>
            </w:pPr>
            <w:r>
              <w:rPr>
                <w:rFonts w:hint="eastAsia" w:ascii="仿宋" w:hAnsi="仿宋" w:eastAsia="仿宋"/>
                <w:b w:val="0"/>
                <w:bCs w:val="0"/>
                <w:sz w:val="24"/>
                <w:szCs w:val="22"/>
                <w:highlight w:val="none"/>
                <w:lang w:val="en-US" w:eastAsia="zh-CN"/>
              </w:rPr>
              <w:t xml:space="preserve">8,149.13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b/>
                <w:bCs/>
                <w:sz w:val="24"/>
                <w:szCs w:val="22"/>
                <w:highlight w:val="none"/>
              </w:rPr>
            </w:pPr>
            <w:r>
              <w:rPr>
                <w:rFonts w:hint="eastAsia" w:ascii="仿宋" w:hAnsi="仿宋" w:eastAsia="仿宋"/>
                <w:b/>
                <w:bCs/>
                <w:sz w:val="24"/>
                <w:szCs w:val="22"/>
                <w:highlight w:val="none"/>
                <w:lang w:val="en-US" w:eastAsia="zh-CN"/>
              </w:rPr>
              <w:t>住宅</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仿宋" w:hAnsi="仿宋" w:eastAsia="仿宋"/>
                <w:b w:val="0"/>
                <w:bCs w:val="0"/>
                <w:sz w:val="24"/>
                <w:szCs w:val="22"/>
                <w:highlight w:val="none"/>
              </w:rPr>
            </w:pPr>
            <w:r>
              <w:rPr>
                <w:rFonts w:hint="eastAsia" w:ascii="仿宋" w:hAnsi="仿宋" w:eastAsia="仿宋"/>
                <w:b w:val="0"/>
                <w:bCs w:val="0"/>
                <w:sz w:val="24"/>
                <w:szCs w:val="22"/>
                <w:highlight w:val="none"/>
                <w:lang w:val="en-US" w:eastAsia="zh-CN"/>
              </w:rPr>
              <w:t xml:space="preserve">134.00 </w:t>
            </w:r>
          </w:p>
        </w:tc>
        <w:tc>
          <w:tcPr>
            <w:tcW w:w="2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仿宋" w:hAnsi="仿宋" w:eastAsia="仿宋"/>
                <w:b w:val="0"/>
                <w:bCs w:val="0"/>
                <w:sz w:val="24"/>
                <w:szCs w:val="22"/>
                <w:highlight w:val="none"/>
              </w:rPr>
            </w:pPr>
            <w:r>
              <w:rPr>
                <w:rFonts w:hint="eastAsia" w:ascii="仿宋" w:hAnsi="仿宋" w:eastAsia="仿宋"/>
                <w:b w:val="0"/>
                <w:bCs w:val="0"/>
                <w:sz w:val="24"/>
                <w:szCs w:val="22"/>
                <w:highlight w:val="none"/>
                <w:lang w:val="en-US" w:eastAsia="zh-CN"/>
              </w:rPr>
              <w:t xml:space="preserve">12,917.07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b w:val="0"/>
                <w:bCs w:val="0"/>
                <w:sz w:val="24"/>
                <w:szCs w:val="22"/>
                <w:highlight w:val="none"/>
              </w:rPr>
            </w:pPr>
            <w:r>
              <w:rPr>
                <w:rFonts w:hint="eastAsia" w:ascii="仿宋" w:hAnsi="仿宋" w:eastAsia="仿宋"/>
                <w:b w:val="0"/>
                <w:bCs w:val="0"/>
                <w:sz w:val="24"/>
                <w:szCs w:val="22"/>
                <w:highlight w:val="none"/>
                <w:lang w:val="en-US" w:eastAsia="zh-CN"/>
              </w:rPr>
              <w:t>总计</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仿宋" w:hAnsi="仿宋" w:eastAsia="仿宋"/>
                <w:b w:val="0"/>
                <w:bCs w:val="0"/>
                <w:sz w:val="24"/>
                <w:szCs w:val="22"/>
                <w:highlight w:val="none"/>
              </w:rPr>
            </w:pPr>
            <w:r>
              <w:rPr>
                <w:rFonts w:hint="eastAsia" w:ascii="仿宋" w:hAnsi="仿宋" w:eastAsia="仿宋"/>
                <w:b w:val="0"/>
                <w:bCs w:val="0"/>
                <w:sz w:val="24"/>
                <w:szCs w:val="22"/>
                <w:highlight w:val="none"/>
                <w:lang w:val="en-US" w:eastAsia="zh-CN"/>
              </w:rPr>
              <w:t xml:space="preserve">185.00 </w:t>
            </w:r>
          </w:p>
        </w:tc>
        <w:tc>
          <w:tcPr>
            <w:tcW w:w="2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仿宋" w:hAnsi="仿宋" w:eastAsia="仿宋"/>
                <w:b w:val="0"/>
                <w:bCs w:val="0"/>
                <w:sz w:val="24"/>
                <w:szCs w:val="22"/>
                <w:highlight w:val="none"/>
              </w:rPr>
            </w:pPr>
            <w:r>
              <w:rPr>
                <w:rFonts w:hint="eastAsia" w:ascii="仿宋" w:hAnsi="仿宋" w:eastAsia="仿宋"/>
                <w:b w:val="0"/>
                <w:bCs w:val="0"/>
                <w:sz w:val="24"/>
                <w:szCs w:val="22"/>
                <w:highlight w:val="none"/>
                <w:lang w:val="en-US" w:eastAsia="zh-CN"/>
              </w:rPr>
              <w:t xml:space="preserve">21,066.20 </w:t>
            </w:r>
          </w:p>
        </w:tc>
      </w:tr>
    </w:tbl>
    <w:p>
      <w:pPr>
        <w:numPr>
          <w:ilvl w:val="0"/>
          <w:numId w:val="0"/>
        </w:numPr>
        <w:rPr>
          <w:rFonts w:hint="default"/>
          <w:lang w:val="en-US" w:eastAsia="zh-CN"/>
        </w:rPr>
      </w:pPr>
    </w:p>
    <w:p>
      <w:pPr>
        <w:spacing w:line="600" w:lineRule="exact"/>
        <w:ind w:firstLine="562" w:firstLineChars="200"/>
        <w:rPr>
          <w:rFonts w:hint="default" w:ascii="仿宋" w:hAnsi="仿宋" w:eastAsia="仿宋" w:cs="Times New Roman"/>
          <w:b/>
          <w:bCs/>
          <w:kern w:val="2"/>
          <w:sz w:val="28"/>
          <w:szCs w:val="20"/>
          <w:highlight w:val="yellow"/>
          <w:lang w:val="en-US" w:eastAsia="zh-CN" w:bidi="ar-SA"/>
        </w:rPr>
      </w:pPr>
      <w:r>
        <w:rPr>
          <w:rFonts w:hint="eastAsia" w:ascii="仿宋" w:hAnsi="仿宋" w:eastAsia="仿宋" w:cs="Times New Roman"/>
          <w:b/>
          <w:bCs/>
          <w:kern w:val="2"/>
          <w:sz w:val="28"/>
          <w:szCs w:val="20"/>
          <w:highlight w:val="yellow"/>
          <w:lang w:val="en-US" w:eastAsia="zh-CN" w:bidi="ar-SA"/>
        </w:rPr>
        <w:t>（二）商业价值</w:t>
      </w:r>
    </w:p>
    <w:p>
      <w:pPr>
        <w:spacing w:line="600" w:lineRule="exact"/>
        <w:ind w:firstLine="560" w:firstLineChars="200"/>
        <w:rPr>
          <w:rFonts w:hint="default" w:ascii="仿宋" w:hAnsi="仿宋" w:eastAsia="仿宋"/>
          <w:sz w:val="28"/>
          <w:highlight w:val="yellow"/>
          <w:lang w:val="en-US" w:eastAsia="zh-CN"/>
        </w:rPr>
      </w:pPr>
      <w:r>
        <w:rPr>
          <w:rFonts w:hint="eastAsia" w:ascii="仿宋" w:hAnsi="仿宋" w:eastAsia="仿宋"/>
          <w:sz w:val="28"/>
          <w:highlight w:val="yellow"/>
          <w:lang w:val="en-US" w:eastAsia="zh-CN"/>
        </w:rPr>
        <w:t>小区周边的沐兰广场的商业挂牌价7738.1元/平方米</w:t>
      </w:r>
    </w:p>
    <w:p>
      <w:pPr>
        <w:spacing w:line="600" w:lineRule="exact"/>
        <w:ind w:firstLine="562" w:firstLineChars="200"/>
        <w:rPr>
          <w:rFonts w:hint="default" w:ascii="仿宋" w:hAnsi="仿宋" w:eastAsia="仿宋"/>
          <w:b/>
          <w:bCs/>
          <w:sz w:val="28"/>
          <w:highlight w:val="yellow"/>
          <w:lang w:val="en-US" w:eastAsia="zh-CN"/>
        </w:rPr>
      </w:pPr>
      <w:r>
        <w:rPr>
          <w:rFonts w:hint="eastAsia" w:ascii="仿宋" w:hAnsi="仿宋" w:eastAsia="仿宋"/>
          <w:b/>
          <w:bCs/>
          <w:sz w:val="28"/>
          <w:highlight w:val="yellow"/>
          <w:lang w:val="en-US" w:eastAsia="zh-CN"/>
        </w:rPr>
        <w:t>估值：8149.13*7738.1=6306万元</w:t>
      </w:r>
    </w:p>
    <w:p>
      <w:pPr>
        <w:bidi w:val="0"/>
        <w:rPr>
          <w:rFonts w:hint="eastAsia"/>
          <w:lang w:eastAsia="zh-CN"/>
        </w:rPr>
      </w:pPr>
      <w:r>
        <w:rPr>
          <w:rFonts w:hint="eastAsia"/>
          <w:lang w:eastAsia="zh-CN"/>
        </w:rPr>
        <w:drawing>
          <wp:inline distT="0" distB="0" distL="114300" distR="114300">
            <wp:extent cx="4096385" cy="5814695"/>
            <wp:effectExtent l="0" t="0" r="18415" b="14605"/>
            <wp:docPr id="3" name="图片 3" descr="806c1bb0fb77fdaa09da17cb91d8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6c1bb0fb77fdaa09da17cb91d885a"/>
                    <pic:cNvPicPr>
                      <a:picLocks noChangeAspect="1"/>
                    </pic:cNvPicPr>
                  </pic:nvPicPr>
                  <pic:blipFill>
                    <a:blip r:embed="rId8"/>
                    <a:stretch>
                      <a:fillRect/>
                    </a:stretch>
                  </pic:blipFill>
                  <pic:spPr>
                    <a:xfrm>
                      <a:off x="0" y="0"/>
                      <a:ext cx="4096385" cy="5814695"/>
                    </a:xfrm>
                    <a:prstGeom prst="rect">
                      <a:avLst/>
                    </a:prstGeom>
                  </pic:spPr>
                </pic:pic>
              </a:graphicData>
            </a:graphic>
          </wp:inline>
        </w:drawing>
      </w:r>
    </w:p>
    <w:p>
      <w:pPr>
        <w:spacing w:line="600" w:lineRule="exact"/>
        <w:ind w:firstLine="562" w:firstLineChars="200"/>
        <w:rPr>
          <w:rFonts w:hint="eastAsia" w:ascii="仿宋" w:hAnsi="仿宋" w:eastAsia="仿宋" w:cs="Times New Roman"/>
          <w:b/>
          <w:bCs/>
          <w:kern w:val="2"/>
          <w:sz w:val="28"/>
          <w:szCs w:val="20"/>
          <w:highlight w:val="yellow"/>
          <w:lang w:val="en-US" w:eastAsia="zh-CN" w:bidi="ar-SA"/>
        </w:rPr>
      </w:pPr>
    </w:p>
    <w:p>
      <w:pPr>
        <w:pStyle w:val="2"/>
        <w:rPr>
          <w:rFonts w:hint="default" w:ascii="仿宋" w:hAnsi="仿宋" w:eastAsia="仿宋" w:cs="Times New Roman"/>
          <w:b/>
          <w:bCs/>
          <w:kern w:val="2"/>
          <w:sz w:val="28"/>
          <w:szCs w:val="20"/>
          <w:highlight w:val="yellow"/>
          <w:lang w:val="en-US" w:eastAsia="zh-CN" w:bidi="ar-SA"/>
        </w:rPr>
      </w:pPr>
      <w:r>
        <w:rPr>
          <w:rFonts w:hint="eastAsia" w:ascii="仿宋" w:hAnsi="仿宋" w:eastAsia="仿宋" w:cs="Times New Roman"/>
          <w:b/>
          <w:bCs/>
          <w:kern w:val="2"/>
          <w:sz w:val="28"/>
          <w:szCs w:val="20"/>
          <w:highlight w:val="yellow"/>
          <w:lang w:val="en-US" w:eastAsia="zh-CN" w:bidi="ar-SA"/>
        </w:rPr>
        <w:t>（二）住宅价值</w:t>
      </w:r>
    </w:p>
    <w:p>
      <w:pPr>
        <w:spacing w:line="600" w:lineRule="exact"/>
        <w:ind w:firstLine="562" w:firstLineChars="200"/>
        <w:rPr>
          <w:rFonts w:ascii="仿宋" w:hAnsi="仿宋" w:eastAsia="仿宋"/>
          <w:b/>
          <w:bCs/>
          <w:sz w:val="28"/>
          <w:highlight w:val="yellow"/>
        </w:rPr>
      </w:pPr>
      <w:r>
        <w:rPr>
          <w:rFonts w:hint="eastAsia" w:ascii="仿宋" w:hAnsi="仿宋" w:eastAsia="仿宋" w:cs="Times New Roman"/>
          <w:b/>
          <w:bCs/>
          <w:kern w:val="2"/>
          <w:sz w:val="28"/>
          <w:szCs w:val="20"/>
          <w:highlight w:val="yellow"/>
          <w:lang w:val="en-US" w:eastAsia="zh-CN" w:bidi="ar-SA"/>
        </w:rPr>
        <w:t>但上述查封的房产涉及很多回迁安置房+已经真实销售，根据最新法律</w:t>
      </w:r>
      <w:r>
        <w:rPr>
          <w:rFonts w:hint="eastAsia" w:ascii="仿宋" w:hAnsi="仿宋" w:eastAsia="仿宋"/>
          <w:b/>
          <w:bCs/>
          <w:sz w:val="28"/>
          <w:highlight w:val="yellow"/>
        </w:rPr>
        <w:t>在已经支付全部价款的前提下，房屋购买人以居住为目的的房屋交付请求权优先于建设工程价款优先受偿权、抵押权以及其他债权。因此贵公司在枣庄闽峰房地产开发有限公司债权项目中对抵押物的优先受偿权无法对抗已经支付全部价款的房屋购买人以及回迁户。</w:t>
      </w:r>
    </w:p>
    <w:p>
      <w:pPr>
        <w:ind w:firstLine="562" w:firstLineChars="200"/>
        <w:rPr>
          <w:rFonts w:hint="default" w:ascii="仿宋" w:hAnsi="仿宋" w:eastAsia="仿宋" w:cs="Times New Roman"/>
          <w:b/>
          <w:bCs/>
          <w:kern w:val="2"/>
          <w:sz w:val="28"/>
          <w:szCs w:val="20"/>
          <w:lang w:val="en-US" w:eastAsia="zh-CN" w:bidi="ar-SA"/>
        </w:rPr>
      </w:pPr>
    </w:p>
    <w:p>
      <w:pPr>
        <w:spacing w:line="600" w:lineRule="exact"/>
        <w:ind w:firstLine="560" w:firstLineChars="200"/>
        <w:rPr>
          <w:rFonts w:ascii="仿宋" w:hAnsi="仿宋" w:eastAsia="仿宋"/>
          <w:sz w:val="28"/>
        </w:rPr>
      </w:pPr>
      <w:r>
        <w:rPr>
          <w:rFonts w:hint="eastAsia" w:ascii="仿宋" w:hAnsi="仿宋" w:eastAsia="仿宋"/>
          <w:sz w:val="28"/>
        </w:rPr>
        <w:t>二、《最高人民法院关于商品房消费者权利保护问题的批复》已于2023年2月14日由最高人民法院审判委员会第1879次会议通过，自2023年4月20日起施行。批复内容如下：</w:t>
      </w:r>
    </w:p>
    <w:p>
      <w:pPr>
        <w:spacing w:line="600" w:lineRule="exact"/>
        <w:ind w:firstLine="560" w:firstLineChars="200"/>
        <w:rPr>
          <w:rFonts w:ascii="仿宋" w:hAnsi="仿宋" w:eastAsia="仿宋"/>
          <w:sz w:val="28"/>
        </w:rPr>
      </w:pPr>
      <w:r>
        <w:rPr>
          <w:rFonts w:hint="eastAsia" w:ascii="仿宋" w:hAnsi="仿宋" w:eastAsia="仿宋"/>
          <w:sz w:val="28"/>
        </w:rPr>
        <w:t>（一）建设工程价款优先受偿权、抵押权以及其他债权之间的权利顺位关系，按照《最高人民法院关于审理建设工程施工合同纠纷案件适用法律问题的解释（一）》第三十六条的规定处理。</w:t>
      </w:r>
    </w:p>
    <w:p>
      <w:pPr>
        <w:spacing w:line="600" w:lineRule="exact"/>
        <w:ind w:firstLine="560" w:firstLineChars="200"/>
        <w:rPr>
          <w:rFonts w:ascii="仿宋" w:hAnsi="仿宋" w:eastAsia="仿宋"/>
          <w:sz w:val="28"/>
        </w:rPr>
      </w:pPr>
      <w:r>
        <w:rPr>
          <w:rFonts w:hint="eastAsia" w:ascii="仿宋" w:hAnsi="仿宋" w:eastAsia="仿宋"/>
          <w:sz w:val="28"/>
        </w:rPr>
        <w:t>（二）商品房消费者以居住为目的购买房屋并已支付全部价款，主张其房屋交付请求权优先于建设工程价款优先受偿权、抵押权以及其他债权的，人民法院应当予以支持。</w:t>
      </w:r>
    </w:p>
    <w:p>
      <w:pPr>
        <w:spacing w:line="600" w:lineRule="exact"/>
        <w:ind w:firstLine="560" w:firstLineChars="200"/>
        <w:rPr>
          <w:rFonts w:ascii="仿宋" w:hAnsi="仿宋" w:eastAsia="仿宋"/>
          <w:sz w:val="28"/>
        </w:rPr>
      </w:pPr>
      <w:r>
        <w:rPr>
          <w:rFonts w:hint="eastAsia" w:ascii="仿宋" w:hAnsi="仿宋" w:eastAsia="仿宋"/>
          <w:sz w:val="28"/>
        </w:rPr>
        <w:t>只支付了部分价款的商品房消费者，在一审法庭辩论终结前已实际支付剩余价款的，可以适用前款规定。</w:t>
      </w:r>
    </w:p>
    <w:p>
      <w:pPr>
        <w:spacing w:line="600" w:lineRule="exact"/>
        <w:ind w:firstLine="560" w:firstLineChars="200"/>
        <w:rPr>
          <w:rFonts w:ascii="仿宋" w:hAnsi="仿宋" w:eastAsia="仿宋"/>
          <w:sz w:val="28"/>
        </w:rPr>
      </w:pPr>
      <w:r>
        <w:rPr>
          <w:rFonts w:hint="eastAsia" w:ascii="仿宋" w:hAnsi="仿宋" w:eastAsia="仿宋"/>
          <w:sz w:val="28"/>
        </w:rPr>
        <w:t>（三）在房屋不能交付且无实际交付可能的情况下，商品房消费者主张价款返还请求权优先于建设工程价款优先受偿权、抵押权以及其他债权的，人民法院应当予以支持。</w:t>
      </w:r>
    </w:p>
    <w:p>
      <w:pPr>
        <w:spacing w:line="600" w:lineRule="exact"/>
        <w:ind w:firstLine="562" w:firstLineChars="200"/>
        <w:rPr>
          <w:rFonts w:ascii="仿宋" w:hAnsi="仿宋" w:eastAsia="仿宋"/>
          <w:b/>
          <w:bCs/>
          <w:sz w:val="28"/>
          <w:highlight w:val="yellow"/>
        </w:rPr>
      </w:pPr>
      <w:r>
        <w:rPr>
          <w:rFonts w:hint="eastAsia" w:ascii="仿宋" w:hAnsi="仿宋" w:eastAsia="仿宋"/>
          <w:b/>
          <w:bCs/>
          <w:sz w:val="28"/>
          <w:highlight w:val="yellow"/>
        </w:rPr>
        <w:t>经律师调查，枣庄闽峰房地产开发有限公司项目在建工程上无拆迁协议、目前无权属争议且为空房状态的住宅共计2</w:t>
      </w:r>
      <w:r>
        <w:rPr>
          <w:rFonts w:ascii="仿宋" w:hAnsi="仿宋" w:eastAsia="仿宋"/>
          <w:b/>
          <w:bCs/>
          <w:sz w:val="28"/>
          <w:highlight w:val="yellow"/>
        </w:rPr>
        <w:t>0</w:t>
      </w:r>
      <w:r>
        <w:rPr>
          <w:rFonts w:hint="eastAsia" w:ascii="仿宋" w:hAnsi="仿宋" w:eastAsia="仿宋"/>
          <w:b/>
          <w:bCs/>
          <w:sz w:val="28"/>
          <w:highlight w:val="yellow"/>
        </w:rPr>
        <w:t>套，面积共计1</w:t>
      </w:r>
      <w:r>
        <w:rPr>
          <w:rFonts w:ascii="仿宋" w:hAnsi="仿宋" w:eastAsia="仿宋"/>
          <w:b/>
          <w:bCs/>
          <w:sz w:val="28"/>
          <w:highlight w:val="yellow"/>
        </w:rPr>
        <w:t>714.68</w:t>
      </w:r>
      <w:r>
        <w:rPr>
          <w:rFonts w:hint="eastAsia" w:ascii="仿宋" w:hAnsi="仿宋" w:eastAsia="仿宋"/>
          <w:b/>
          <w:bCs/>
          <w:sz w:val="28"/>
          <w:highlight w:val="yellow"/>
        </w:rPr>
        <w:t>平方米</w:t>
      </w:r>
      <w:r>
        <w:rPr>
          <w:rFonts w:hint="eastAsia" w:ascii="仿宋" w:hAnsi="仿宋" w:eastAsia="仿宋"/>
          <w:b/>
          <w:bCs/>
          <w:sz w:val="28"/>
          <w:highlight w:val="yellow"/>
          <w:lang w:eastAsia="zh-CN"/>
        </w:rPr>
        <w:t>，</w:t>
      </w:r>
      <w:r>
        <w:rPr>
          <w:rFonts w:hint="eastAsia" w:ascii="仿宋" w:hAnsi="仿宋" w:eastAsia="仿宋"/>
          <w:b/>
          <w:bCs/>
          <w:sz w:val="28"/>
          <w:highlight w:val="yellow"/>
        </w:rPr>
        <w:t>明细如下：</w:t>
      </w:r>
    </w:p>
    <w:tbl>
      <w:tblPr>
        <w:tblStyle w:val="5"/>
        <w:tblW w:w="8217" w:type="dxa"/>
        <w:tblInd w:w="0" w:type="dxa"/>
        <w:tblLayout w:type="autofit"/>
        <w:tblCellMar>
          <w:top w:w="0" w:type="dxa"/>
          <w:left w:w="108" w:type="dxa"/>
          <w:bottom w:w="0" w:type="dxa"/>
          <w:right w:w="108" w:type="dxa"/>
        </w:tblCellMar>
      </w:tblPr>
      <w:tblGrid>
        <w:gridCol w:w="704"/>
        <w:gridCol w:w="1418"/>
        <w:gridCol w:w="1842"/>
        <w:gridCol w:w="1701"/>
        <w:gridCol w:w="1276"/>
        <w:gridCol w:w="1276"/>
      </w:tblGrid>
      <w:tr>
        <w:tblPrEx>
          <w:tblCellMar>
            <w:top w:w="0" w:type="dxa"/>
            <w:left w:w="108" w:type="dxa"/>
            <w:bottom w:w="0" w:type="dxa"/>
            <w:right w:w="108" w:type="dxa"/>
          </w:tblCellMar>
        </w:tblPrEx>
        <w:trPr>
          <w:trHeight w:val="288"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序号</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楼号</w:t>
            </w:r>
          </w:p>
        </w:tc>
        <w:tc>
          <w:tcPr>
            <w:tcW w:w="184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门牌号</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面积/平方米</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性质</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备注</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1</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5号楼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1804</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95.70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2</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10号楼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1704</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80.41</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3</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11号楼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1102</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112.78</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4</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13号楼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1402</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72.08</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5</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13号楼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1403</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72.08</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6</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13号楼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1504</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74.22</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7</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13号楼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1601</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74.22</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8</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13号楼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1604</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74.22</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9</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14号楼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1303</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98.16</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10</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14号楼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1601</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80.67</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11</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6号楼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1603</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78.06</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12</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6号楼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1404</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114.78</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13</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6号楼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1702</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78.06</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14</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6号楼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1803</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78.06</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15</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6号楼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1804</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78.93</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16</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7号楼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2202</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78.46</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17</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7号楼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2304</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79.34</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18</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7号楼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2404</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79.34</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19</w:t>
            </w:r>
          </w:p>
        </w:tc>
        <w:tc>
          <w:tcPr>
            <w:tcW w:w="141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8号楼</w:t>
            </w:r>
          </w:p>
        </w:tc>
        <w:tc>
          <w:tcPr>
            <w:tcW w:w="1842"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2203</w:t>
            </w:r>
          </w:p>
        </w:tc>
        <w:tc>
          <w:tcPr>
            <w:tcW w:w="1701"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81.90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2"/>
                <w:szCs w:val="22"/>
              </w:rPr>
              <w:t>20</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8号楼</w:t>
            </w:r>
          </w:p>
        </w:tc>
        <w:tc>
          <w:tcPr>
            <w:tcW w:w="1842"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color w:val="000000"/>
                <w:sz w:val="20"/>
                <w:szCs w:val="20"/>
              </w:rPr>
              <w:t>2402</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ascii="宋体" w:hAnsi="宋体" w:cs="宋体"/>
                <w:color w:val="000000"/>
                <w:kern w:val="0"/>
                <w:sz w:val="22"/>
                <w:szCs w:val="22"/>
              </w:rPr>
              <w:t>133.21</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住宅</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8"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right"/>
              <w:rPr>
                <w:color w:val="000000"/>
                <w:sz w:val="22"/>
                <w:szCs w:val="22"/>
              </w:rPr>
            </w:pPr>
            <w:r>
              <w:rPr>
                <w:rFonts w:hint="eastAsia"/>
                <w:color w:val="000000"/>
                <w:sz w:val="22"/>
                <w:szCs w:val="22"/>
              </w:rPr>
              <w:t>合计</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color w:val="000000"/>
                <w:sz w:val="20"/>
                <w:szCs w:val="20"/>
              </w:rPr>
            </w:pPr>
          </w:p>
        </w:tc>
        <w:tc>
          <w:tcPr>
            <w:tcW w:w="1842"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color w:val="000000"/>
                <w:sz w:val="20"/>
                <w:szCs w:val="20"/>
              </w:rPr>
            </w:pP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714.68</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p>
        </w:tc>
      </w:tr>
    </w:tbl>
    <w:p>
      <w:pPr>
        <w:spacing w:line="600" w:lineRule="exact"/>
        <w:ind w:firstLine="562" w:firstLineChars="200"/>
        <w:rPr>
          <w:rFonts w:hint="eastAsia" w:ascii="仿宋" w:hAnsi="仿宋" w:eastAsia="仿宋"/>
          <w:b/>
          <w:bCs/>
          <w:sz w:val="28"/>
          <w:lang w:val="en-US" w:eastAsia="zh-CN"/>
        </w:rPr>
      </w:pPr>
      <w:r>
        <w:rPr>
          <w:rFonts w:hint="eastAsia" w:ascii="仿宋" w:hAnsi="仿宋" w:eastAsia="仿宋"/>
          <w:b/>
          <w:bCs/>
          <w:sz w:val="28"/>
          <w:lang w:val="en-US" w:eastAsia="zh-CN"/>
        </w:rPr>
        <w:t>估值：</w:t>
      </w:r>
    </w:p>
    <w:p>
      <w:pPr>
        <w:spacing w:line="600" w:lineRule="exact"/>
        <w:ind w:firstLine="560" w:firstLineChars="200"/>
        <w:rPr>
          <w:rFonts w:hint="default" w:ascii="仿宋" w:hAnsi="仿宋" w:eastAsia="仿宋"/>
          <w:sz w:val="28"/>
          <w:lang w:val="en-US" w:eastAsia="zh-CN"/>
        </w:rPr>
      </w:pPr>
      <w:r>
        <w:rPr>
          <w:rFonts w:hint="eastAsia" w:ascii="仿宋" w:hAnsi="仿宋" w:eastAsia="仿宋"/>
          <w:sz w:val="28"/>
          <w:lang w:val="en-US" w:eastAsia="zh-CN"/>
        </w:rPr>
        <w:t>（1）2022年法拍成交案例：</w:t>
      </w:r>
    </w:p>
    <w:p>
      <w:pPr>
        <w:spacing w:line="600" w:lineRule="exact"/>
        <w:ind w:firstLine="560" w:firstLineChars="200"/>
        <w:rPr>
          <w:rFonts w:hint="eastAsia" w:ascii="仿宋" w:hAnsi="仿宋" w:eastAsia="仿宋"/>
          <w:sz w:val="28"/>
        </w:rPr>
      </w:pPr>
      <w:r>
        <w:rPr>
          <w:rFonts w:hint="eastAsia" w:ascii="仿宋" w:hAnsi="仿宋" w:eastAsia="仿宋"/>
          <w:sz w:val="28"/>
        </w:rPr>
        <w:fldChar w:fldCharType="begin"/>
      </w:r>
      <w:r>
        <w:rPr>
          <w:rFonts w:hint="eastAsia" w:ascii="仿宋" w:hAnsi="仿宋" w:eastAsia="仿宋"/>
          <w:sz w:val="28"/>
        </w:rPr>
        <w:instrText xml:space="preserve"> HYPERLINK "https://sf-item.taobao.com/sf_item/679787232490.htm?spm=a213w.7398504.paiList.1.4d83cd5eDfiGbO&amp;track_id=f8776f15-f5bf-446b-9ebf-bf4e3567c2f3" </w:instrText>
      </w:r>
      <w:r>
        <w:rPr>
          <w:rFonts w:hint="eastAsia" w:ascii="仿宋" w:hAnsi="仿宋" w:eastAsia="仿宋"/>
          <w:sz w:val="28"/>
        </w:rPr>
        <w:fldChar w:fldCharType="separate"/>
      </w:r>
      <w:r>
        <w:rPr>
          <w:rStyle w:val="8"/>
          <w:rFonts w:hint="eastAsia" w:ascii="仿宋" w:hAnsi="仿宋" w:eastAsia="仿宋"/>
          <w:sz w:val="28"/>
        </w:rPr>
        <w:t>https://sf-item.taobao.com/sf_item/679787232490.htm?spm=a213w.7398504.paiList.1.4d83cd5eDfiGbO&amp;track_id=f8776f15-f5bf-446b-9ebf-bf4e3567c2f3</w:t>
      </w:r>
      <w:r>
        <w:rPr>
          <w:rFonts w:hint="eastAsia" w:ascii="仿宋" w:hAnsi="仿宋" w:eastAsia="仿宋"/>
          <w:sz w:val="28"/>
        </w:rPr>
        <w:fldChar w:fldCharType="end"/>
      </w:r>
    </w:p>
    <w:p>
      <w:pPr>
        <w:spacing w:line="600" w:lineRule="exact"/>
        <w:ind w:firstLine="560" w:firstLineChars="200"/>
        <w:rPr>
          <w:rFonts w:hint="default" w:ascii="仿宋" w:hAnsi="仿宋" w:eastAsia="仿宋"/>
          <w:sz w:val="28"/>
          <w:lang w:val="en-US" w:eastAsia="zh-CN"/>
        </w:rPr>
      </w:pPr>
      <w:r>
        <w:rPr>
          <w:rFonts w:hint="eastAsia" w:ascii="仿宋" w:hAnsi="仿宋" w:eastAsia="仿宋"/>
          <w:sz w:val="28"/>
          <w:lang w:val="en-US" w:eastAsia="zh-CN"/>
        </w:rPr>
        <w:t>成交单价：380000/118.17=3216元/平方米</w:t>
      </w:r>
    </w:p>
    <w:p>
      <w:pPr>
        <w:spacing w:line="600" w:lineRule="exact"/>
        <w:ind w:firstLine="560" w:firstLineChars="200"/>
        <w:rPr>
          <w:rFonts w:hint="eastAsia" w:ascii="仿宋" w:hAnsi="仿宋" w:eastAsia="仿宋"/>
          <w:sz w:val="28"/>
        </w:rPr>
      </w:pPr>
    </w:p>
    <w:p>
      <w:pPr>
        <w:spacing w:line="600" w:lineRule="exact"/>
        <w:ind w:firstLine="560" w:firstLineChars="200"/>
        <w:rPr>
          <w:rFonts w:hint="default" w:ascii="仿宋" w:hAnsi="仿宋" w:eastAsia="仿宋"/>
          <w:sz w:val="28"/>
          <w:lang w:val="en-US" w:eastAsia="zh-CN"/>
        </w:rPr>
      </w:pPr>
      <w:r>
        <w:rPr>
          <w:rFonts w:hint="eastAsia" w:ascii="仿宋" w:hAnsi="仿宋" w:eastAsia="仿宋"/>
          <w:sz w:val="28"/>
          <w:lang w:val="en-US" w:eastAsia="zh-CN"/>
        </w:rPr>
        <w:t>（2）2021年法拍成交案例：</w:t>
      </w:r>
    </w:p>
    <w:p>
      <w:pPr>
        <w:spacing w:line="600" w:lineRule="exact"/>
        <w:ind w:firstLine="560" w:firstLineChars="200"/>
        <w:rPr>
          <w:rFonts w:hint="eastAsia" w:ascii="仿宋" w:hAnsi="仿宋" w:eastAsia="仿宋"/>
          <w:sz w:val="28"/>
        </w:rPr>
      </w:pPr>
      <w:r>
        <w:rPr>
          <w:rFonts w:hint="eastAsia" w:ascii="仿宋" w:hAnsi="仿宋" w:eastAsia="仿宋"/>
          <w:sz w:val="28"/>
        </w:rPr>
        <w:t>https://sf-item.taobao.com/sf_item/639736988188.htm?spm=a213w.7398504.paiList.4.4d83cd5eSvJUif&amp;track_id=461f5800-587b-4ac2-ad72-859d31f8ce70</w:t>
      </w:r>
    </w:p>
    <w:p>
      <w:pPr>
        <w:spacing w:line="600" w:lineRule="exact"/>
        <w:ind w:firstLine="560" w:firstLineChars="200"/>
        <w:rPr>
          <w:rFonts w:hint="default" w:ascii="仿宋" w:hAnsi="仿宋" w:eastAsia="仿宋"/>
          <w:sz w:val="28"/>
          <w:lang w:val="en-US" w:eastAsia="zh-CN"/>
        </w:rPr>
      </w:pPr>
      <w:r>
        <w:rPr>
          <w:rFonts w:hint="eastAsia" w:ascii="仿宋" w:hAnsi="仿宋" w:eastAsia="仿宋"/>
          <w:sz w:val="28"/>
          <w:lang w:val="en-US" w:eastAsia="zh-CN"/>
        </w:rPr>
        <w:t>588200/132.14=4451元/平方米</w:t>
      </w:r>
    </w:p>
    <w:p>
      <w:pPr>
        <w:spacing w:line="600" w:lineRule="exact"/>
        <w:ind w:firstLine="560" w:firstLineChars="200"/>
        <w:rPr>
          <w:rFonts w:hint="eastAsia" w:ascii="仿宋" w:hAnsi="仿宋" w:eastAsia="仿宋"/>
          <w:sz w:val="28"/>
        </w:rPr>
      </w:pPr>
    </w:p>
    <w:p>
      <w:pPr>
        <w:spacing w:line="600" w:lineRule="exact"/>
        <w:ind w:firstLine="560" w:firstLineChars="200"/>
        <w:rPr>
          <w:rFonts w:hint="eastAsia" w:ascii="仿宋" w:hAnsi="仿宋" w:eastAsia="仿宋"/>
          <w:sz w:val="28"/>
          <w:lang w:val="en-US" w:eastAsia="zh-CN"/>
        </w:rPr>
      </w:pPr>
      <w:r>
        <w:rPr>
          <w:rFonts w:hint="eastAsia" w:ascii="仿宋" w:hAnsi="仿宋" w:eastAsia="仿宋"/>
          <w:sz w:val="28"/>
          <w:lang w:val="en-US" w:eastAsia="zh-CN"/>
        </w:rPr>
        <w:t>（3）安居客6月挂牌：</w:t>
      </w:r>
    </w:p>
    <w:p>
      <w:pPr>
        <w:spacing w:line="600" w:lineRule="exact"/>
        <w:ind w:firstLine="560" w:firstLineChars="200"/>
        <w:rPr>
          <w:rFonts w:hint="default" w:ascii="仿宋" w:hAnsi="仿宋" w:eastAsia="仿宋"/>
          <w:sz w:val="28"/>
          <w:lang w:val="en-US" w:eastAsia="zh-CN"/>
        </w:rPr>
      </w:pPr>
      <w:r>
        <w:rPr>
          <w:rFonts w:hint="eastAsia" w:ascii="仿宋" w:hAnsi="仿宋" w:eastAsia="仿宋"/>
          <w:sz w:val="28"/>
          <w:lang w:val="en-US" w:eastAsia="zh-CN"/>
        </w:rPr>
        <w:t>安居客挂牌单价4210元/平方米</w:t>
      </w:r>
    </w:p>
    <w:p>
      <w:pPr>
        <w:spacing w:line="600" w:lineRule="exact"/>
        <w:ind w:firstLine="562" w:firstLineChars="200"/>
        <w:rPr>
          <w:rFonts w:hint="eastAsia" w:ascii="仿宋" w:hAnsi="仿宋" w:eastAsia="仿宋"/>
          <w:sz w:val="28"/>
          <w:highlight w:val="yellow"/>
        </w:rPr>
      </w:pPr>
      <w:r>
        <w:rPr>
          <w:rFonts w:hint="eastAsia" w:ascii="仿宋" w:hAnsi="仿宋" w:eastAsia="仿宋"/>
          <w:b/>
          <w:bCs/>
          <w:sz w:val="28"/>
          <w:highlight w:val="yellow"/>
          <w:lang w:val="en-US" w:eastAsia="zh-CN"/>
        </w:rPr>
        <w:t>按照最高4451元/平方米，则估值：1714.68*4451=763万元</w:t>
      </w:r>
    </w:p>
    <w:p>
      <w:pPr>
        <w:spacing w:line="600" w:lineRule="exact"/>
        <w:rPr>
          <w:rFonts w:hint="eastAsia" w:ascii="仿宋" w:hAnsi="仿宋" w:eastAsia="仿宋"/>
          <w:sz w:val="28"/>
        </w:rPr>
      </w:pPr>
    </w:p>
    <w:p>
      <w:pPr>
        <w:pStyle w:val="2"/>
        <w:ind w:firstLine="602" w:firstLineChars="200"/>
        <w:rPr>
          <w:rFonts w:hint="eastAsia"/>
          <w:sz w:val="30"/>
          <w:szCs w:val="30"/>
          <w:lang w:val="en-US" w:eastAsia="zh-CN"/>
        </w:rPr>
      </w:pPr>
      <w:r>
        <w:rPr>
          <w:rFonts w:hint="eastAsia"/>
          <w:sz w:val="30"/>
          <w:szCs w:val="30"/>
          <w:lang w:val="en-US" w:eastAsia="zh-CN"/>
        </w:rPr>
        <w:t>债权价值合计7069万元</w:t>
      </w:r>
    </w:p>
    <w:p>
      <w:pPr>
        <w:ind w:firstLine="542"/>
        <w:rPr>
          <w:rFonts w:hint="default" w:ascii="Times New Roman" w:hAnsi="Times New Roman" w:eastAsia="仿宋_GB2312" w:cs="Times New Roman"/>
          <w:b w:val="0"/>
          <w:kern w:val="2"/>
          <w:sz w:val="30"/>
          <w:szCs w:val="30"/>
          <w:lang w:val="en-US" w:eastAsia="zh-CN" w:bidi="ar-SA"/>
        </w:rPr>
      </w:pPr>
      <w:r>
        <w:rPr>
          <w:rFonts w:hint="eastAsia" w:ascii="宋体" w:hAnsi="宋体" w:eastAsia="宋体" w:cs="Times New Roman"/>
          <w:b/>
          <w:kern w:val="0"/>
          <w:sz w:val="30"/>
          <w:szCs w:val="30"/>
          <w:lang w:val="en-US" w:eastAsia="zh-CN" w:bidi="ar-SA"/>
        </w:rPr>
        <w:t>若加上预查封土地，68502.0757平方米（参照下面价格，剩余土地价格3.085亿</w:t>
      </w:r>
    </w:p>
    <w:p>
      <w:pPr>
        <w:bidi w:val="0"/>
        <w:rPr>
          <w:rFonts w:hint="default" w:ascii="Times New Roman" w:hAnsi="Times New Roman" w:eastAsia="仿宋_GB2312" w:cs="Times New Roman"/>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2856F1"/>
    <w:multiLevelType w:val="singleLevel"/>
    <w:tmpl w:val="992856F1"/>
    <w:lvl w:ilvl="0" w:tentative="0">
      <w:start w:val="1"/>
      <w:numFmt w:val="decimal"/>
      <w:suff w:val="nothing"/>
      <w:lvlText w:val="（%1）"/>
      <w:lvlJc w:val="left"/>
      <w:pPr>
        <w:ind w:left="78"/>
      </w:pPr>
    </w:lvl>
  </w:abstractNum>
  <w:abstractNum w:abstractNumId="1">
    <w:nsid w:val="D1517AF8"/>
    <w:multiLevelType w:val="singleLevel"/>
    <w:tmpl w:val="D1517AF8"/>
    <w:lvl w:ilvl="0" w:tentative="0">
      <w:start w:val="1"/>
      <w:numFmt w:val="decimalEnclosedCircleChinese"/>
      <w:suff w:val="nothing"/>
      <w:lvlText w:val="%1　"/>
      <w:lvlJc w:val="left"/>
      <w:pPr>
        <w:ind w:left="0" w:firstLine="400"/>
      </w:pPr>
      <w:rPr>
        <w:rFonts w:hint="eastAsia"/>
      </w:rPr>
    </w:lvl>
  </w:abstractNum>
  <w:abstractNum w:abstractNumId="2">
    <w:nsid w:val="3EC724B9"/>
    <w:multiLevelType w:val="singleLevel"/>
    <w:tmpl w:val="3EC724B9"/>
    <w:lvl w:ilvl="0" w:tentative="0">
      <w:start w:val="1"/>
      <w:numFmt w:val="chineseCounting"/>
      <w:suff w:val="nothing"/>
      <w:lvlText w:val="%1、"/>
      <w:lvlJc w:val="left"/>
      <w:pPr>
        <w:ind w:left="-122"/>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7179DE"/>
    <w:rsid w:val="03DE26BE"/>
    <w:rsid w:val="07935505"/>
    <w:rsid w:val="207179DE"/>
    <w:rsid w:val="297A3E18"/>
    <w:rsid w:val="318F477C"/>
    <w:rsid w:val="54F214A7"/>
    <w:rsid w:val="577C04EE"/>
    <w:rsid w:val="6D0174FD"/>
    <w:rsid w:val="7E295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rFonts w:eastAsia="仿宋_GB2312"/>
      <w:b/>
      <w:kern w:val="44"/>
      <w:sz w:val="28"/>
    </w:rPr>
  </w:style>
  <w:style w:type="paragraph" w:styleId="2">
    <w:name w:val="heading 3"/>
    <w:basedOn w:val="1"/>
    <w:next w:val="1"/>
    <w:unhideWhenUsed/>
    <w:qFormat/>
    <w:uiPriority w:val="9"/>
    <w:pPr>
      <w:spacing w:beforeAutospacing="1" w:afterAutospacing="1"/>
      <w:jc w:val="left"/>
      <w:outlineLvl w:val="2"/>
    </w:pPr>
    <w:rPr>
      <w:rFonts w:hint="eastAsia" w:ascii="宋体" w:hAnsi="宋体" w:eastAsia="宋体"/>
      <w:b/>
      <w:kern w:val="0"/>
      <w:sz w:val="27"/>
      <w:szCs w:val="27"/>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qFormat/>
    <w:uiPriority w:val="99"/>
    <w:rPr>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2023-02-17T07:13:00Z</dcterms:created>
  <dc:creator>刘</dc:creator>
  <cp:lastModifiedBy>山东分公司刘峰刚</cp:lastModifiedBy>
  <cp:lastPrinted>2023-02-27T06:01:00Z</cp:lastPrinted>
  <dcterms:modified xsi:type="dcterms:W3CDTF">2023-07-05T07:56:13Z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1370BF5F22A64C0699DB8B08CC0EFA17</vt:lpwstr>
  </property>
</Properties>
</file>