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宋体" w:eastAsia="黑体"/>
          <w:b/>
          <w:color w:val="000000"/>
          <w:sz w:val="32"/>
          <w:szCs w:val="32"/>
        </w:rPr>
      </w:pPr>
      <w:r>
        <w:rPr>
          <w:rFonts w:hint="eastAsia" w:ascii="黑体" w:hAnsi="宋体" w:eastAsia="黑体"/>
          <w:b/>
          <w:color w:val="000000"/>
          <w:sz w:val="32"/>
          <w:szCs w:val="32"/>
        </w:rPr>
        <w:t>拍卖标的瑕疵说明及确认书</w:t>
      </w:r>
    </w:p>
    <w:p>
      <w:pPr>
        <w:spacing w:line="460" w:lineRule="exact"/>
        <w:jc w:val="center"/>
        <w:rPr>
          <w:rFonts w:hint="eastAsia" w:ascii="黑体" w:hAnsi="宋体" w:eastAsia="黑体"/>
          <w:b/>
          <w:color w:val="000000"/>
          <w:sz w:val="32"/>
          <w:szCs w:val="32"/>
        </w:rPr>
      </w:pPr>
    </w:p>
    <w:p>
      <w:pPr>
        <w:snapToGrid/>
        <w:spacing w:line="380" w:lineRule="exact"/>
        <w:ind w:firstLine="560" w:firstLineChars="200"/>
        <w:rPr>
          <w:rFonts w:hint="eastAsia" w:ascii="宋体" w:hAnsi="宋体" w:eastAsia="宋体" w:cs="宋体"/>
          <w:b w:val="0"/>
          <w:bCs w:val="0"/>
          <w:i w:val="0"/>
          <w:caps w:val="0"/>
          <w:color w:val="333333"/>
          <w:spacing w:val="0"/>
          <w:kern w:val="0"/>
          <w:sz w:val="24"/>
          <w:szCs w:val="24"/>
          <w:u w:val="single"/>
          <w:shd w:val="clear" w:fill="FFFFFF"/>
          <w:lang w:val="en-US" w:eastAsia="zh-CN" w:bidi="ar"/>
        </w:rPr>
      </w:pPr>
      <w:r>
        <w:rPr>
          <w:rFonts w:hint="eastAsia" w:ascii="仿宋" w:hAnsi="仿宋" w:eastAsia="仿宋"/>
          <w:color w:val="000000"/>
          <w:sz w:val="28"/>
          <w:szCs w:val="28"/>
        </w:rPr>
        <w:t>本次拍卖转让标的为</w:t>
      </w:r>
      <w:r>
        <w:rPr>
          <w:rFonts w:hint="eastAsia" w:ascii="仿宋" w:hAnsi="仿宋" w:eastAsia="仿宋" w:cs="仿宋"/>
          <w:b w:val="0"/>
          <w:bCs w:val="0"/>
          <w:color w:val="auto"/>
          <w:sz w:val="28"/>
          <w:szCs w:val="28"/>
          <w:u w:val="single"/>
          <w:lang w:val="en-US" w:eastAsia="zh-CN"/>
        </w:rPr>
        <w:t>中国长城资产管理股份有限公司山东省分公司拥有的青岛渤海湾建设有限公司债权（详情见拍卖清单），截至2022年12月31日，债权合计为18,301,540.53元，其中：本金为13,706,346.37元，利息（含复息、罚息）为4,595,194.16元（2022年12月31日之后产生的利息，以及与不良贷款债权相关的从权利亦在本次拍卖范围内），现状拍卖。最终债权金额、担保等情况以委托人与买受人签署的《债权转让协议》和双方移交材料为准，拍卖人提供的相关资料仅供参考。</w:t>
      </w: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napToGrid w:val="0"/>
        <w:spacing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 竞买人已被告知并完全理解，中国长城资产管理股份有限公司山东省分公司</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下简称“委托人”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转让给竞买人的贷款债权，存在或可能存在下列瑕疵或风险，且因</w:t>
      </w:r>
      <w:r>
        <w:rPr>
          <w:rFonts w:hint="eastAsia" w:ascii="仿宋" w:hAnsi="仿宋" w:eastAsia="仿宋" w:cs="仿宋"/>
          <w:color w:val="auto"/>
          <w:sz w:val="28"/>
          <w:szCs w:val="28"/>
          <w:lang w:val="en-US" w:eastAsia="zh-CN"/>
        </w:rPr>
        <w:t>委托人</w:t>
      </w:r>
      <w:r>
        <w:rPr>
          <w:rFonts w:hint="eastAsia" w:ascii="仿宋" w:hAnsi="仿宋" w:eastAsia="仿宋" w:cs="仿宋"/>
          <w:color w:val="auto"/>
          <w:sz w:val="28"/>
          <w:szCs w:val="28"/>
        </w:rPr>
        <w:t>并非贷款债权的原始权利人，</w:t>
      </w:r>
      <w:r>
        <w:rPr>
          <w:rFonts w:hint="eastAsia" w:ascii="仿宋" w:hAnsi="仿宋" w:eastAsia="仿宋" w:cs="仿宋"/>
          <w:color w:val="auto"/>
          <w:sz w:val="28"/>
          <w:szCs w:val="28"/>
          <w:lang w:val="en-US" w:eastAsia="zh-CN"/>
        </w:rPr>
        <w:t>委托人</w:t>
      </w:r>
      <w:r>
        <w:rPr>
          <w:rFonts w:hint="eastAsia" w:ascii="仿宋" w:hAnsi="仿宋" w:eastAsia="仿宋" w:cs="仿宋"/>
          <w:color w:val="auto"/>
          <w:sz w:val="28"/>
          <w:szCs w:val="28"/>
        </w:rPr>
        <w:t>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val="0"/>
        <w:spacing w:before="0" w:beforeLines="-2147483648"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1.1标的债权系不良资产，存在着部分或全部不能回收的风险特性以及清收的困难性；</w:t>
      </w:r>
    </w:p>
    <w:p>
      <w:pPr>
        <w:snapToGrid w:val="0"/>
        <w:spacing w:before="0" w:beforeLines="-2147483648"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1.2 由于可能存在的计算误差或其他原因，买受人实际接收的标的债权金额与《标的债权明细表》载明的金额可能不完全一致；基于有关司法政策文件，买受人受让标的债权后向债务人或担保人所能主张并获得司法支持的利息与附表中所列明的利息不完全一致；</w:t>
      </w:r>
    </w:p>
    <w:p>
      <w:pPr>
        <w:snapToGrid w:val="0"/>
        <w:spacing w:before="0" w:beforeLines="-2147483648"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1.3 标的债权项下借款人、担保人或其他责任主体可能存在破产、被吊销、被注销、被撤销、解散、关闭、歇业、停业、下落不明以及其他主体存续性瑕疵的情形；</w:t>
      </w:r>
    </w:p>
    <w:p>
      <w:pPr>
        <w:snapToGrid w:val="0"/>
        <w:spacing w:before="0" w:beforeLines="-2147483648"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1.4 标的债权可能已超过诉讼时效、法定或约定时效或丧失其他相关的期间利益或因其他原因已部分或全部丧失或不能被强制执行的情形，包括但不限于债权转让暨催收公告或通知中有关债权催收的内容不能起到中断诉讼时效的作用；</w:t>
      </w:r>
    </w:p>
    <w:p>
      <w:pPr>
        <w:snapToGrid w:val="0"/>
        <w:spacing w:before="0" w:beforeLines="-2147483648"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1.5 标的债权以及标的债权项下担保权利可能未生效、无效、消灭或已过诉讼时效、担保期间等情形；</w:t>
      </w:r>
    </w:p>
    <w:p>
      <w:pPr>
        <w:snapToGrid w:val="0"/>
        <w:spacing w:before="0" w:beforeLines="-2147483648"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1.6 标的债权证明文件存在不完整、不真实、原件缺失、内容冲突等相关情形；</w:t>
      </w:r>
    </w:p>
    <w:p>
      <w:pPr>
        <w:snapToGrid w:val="0"/>
        <w:spacing w:before="0" w:beforeLines="-2147483648"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1.7 担保物、抵债资产（协议抵债且未办理过户）可能发生灭失、毁损、对外租赁（且租期不详）</w:t>
      </w:r>
      <w:bookmarkStart w:id="0" w:name="_Hlk120708358"/>
      <w:r>
        <w:rPr>
          <w:rFonts w:hint="eastAsia" w:ascii="仿宋" w:hAnsi="仿宋" w:eastAsia="仿宋" w:cs="仿宋"/>
          <w:color w:val="auto"/>
          <w:sz w:val="28"/>
          <w:szCs w:val="28"/>
        </w:rPr>
        <w:t>、设定居住权</w:t>
      </w:r>
      <w:bookmarkEnd w:id="0"/>
      <w:r>
        <w:rPr>
          <w:rFonts w:hint="eastAsia" w:ascii="仿宋" w:hAnsi="仿宋" w:eastAsia="仿宋" w:cs="仿宋"/>
          <w:color w:val="auto"/>
          <w:sz w:val="28"/>
          <w:szCs w:val="28"/>
        </w:rPr>
        <w:t>或可能存在欠缴税费、无相关权属证明、不能办理权属变更手续、不能实际占有、丧失使用价值或其他减损担保物、抵债资产价值的相关情形；</w:t>
      </w:r>
    </w:p>
    <w:p>
      <w:pPr>
        <w:snapToGrid w:val="0"/>
        <w:spacing w:before="0" w:beforeLines="-2147483648"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1.8 担保合同存在约定主债权未经担保人同意不可转让或担保人只对特定债权人承担担保责任的情形；</w:t>
      </w:r>
    </w:p>
    <w:p>
      <w:pPr>
        <w:snapToGrid w:val="0"/>
        <w:spacing w:before="0" w:beforeLines="-2147483648"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1.9 涉诉标的债权可能存在全部或部分败诉、不能变更诉讼（含执行、</w:t>
      </w:r>
      <w:bookmarkStart w:id="1" w:name="_Hlk120708491"/>
      <w:r>
        <w:rPr>
          <w:rFonts w:hint="eastAsia" w:ascii="仿宋" w:hAnsi="仿宋" w:eastAsia="仿宋" w:cs="仿宋"/>
          <w:color w:val="auto"/>
          <w:sz w:val="28"/>
          <w:szCs w:val="28"/>
        </w:rPr>
        <w:t>仲裁</w:t>
      </w:r>
      <w:bookmarkEnd w:id="1"/>
      <w:r>
        <w:rPr>
          <w:rFonts w:hint="eastAsia" w:ascii="仿宋" w:hAnsi="仿宋" w:eastAsia="仿宋" w:cs="仿宋"/>
          <w:color w:val="auto"/>
          <w:sz w:val="28"/>
          <w:szCs w:val="28"/>
        </w:rPr>
        <w:t>）主体、相关诉讼、仲裁、执行费用未付等情形，涉诉标的债权可能在交割前已诉讼终结、</w:t>
      </w:r>
      <w:bookmarkStart w:id="2" w:name="_Hlk120708504"/>
      <w:r>
        <w:rPr>
          <w:rFonts w:hint="eastAsia" w:ascii="仿宋" w:hAnsi="仿宋" w:eastAsia="仿宋" w:cs="仿宋"/>
          <w:color w:val="auto"/>
          <w:sz w:val="28"/>
          <w:szCs w:val="28"/>
        </w:rPr>
        <w:t>仲裁终结、</w:t>
      </w:r>
      <w:bookmarkEnd w:id="2"/>
      <w:r>
        <w:rPr>
          <w:rFonts w:hint="eastAsia" w:ascii="仿宋" w:hAnsi="仿宋" w:eastAsia="仿宋" w:cs="仿宋"/>
          <w:color w:val="auto"/>
          <w:sz w:val="28"/>
          <w:szCs w:val="28"/>
        </w:rPr>
        <w:t>执行终结或破产终结；</w:t>
      </w:r>
    </w:p>
    <w:p>
      <w:pPr>
        <w:snapToGrid w:val="0"/>
        <w:spacing w:before="0" w:beforeLines="-2147483648" w:line="38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1.10 标的债权事实上已经全部或部分灭失。</w:t>
      </w:r>
    </w:p>
    <w:p>
      <w:pPr>
        <w:snapToGrid w:val="0"/>
        <w:spacing w:before="0" w:beforeLines="-2147483648" w:line="380" w:lineRule="exact"/>
        <w:ind w:firstLine="548" w:firstLineChars="196"/>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1.11 </w:t>
      </w:r>
      <w:r>
        <w:rPr>
          <w:rFonts w:hint="eastAsia" w:ascii="仿宋" w:hAnsi="仿宋" w:eastAsia="仿宋" w:cs="仿宋"/>
          <w:color w:val="auto"/>
          <w:sz w:val="28"/>
          <w:szCs w:val="28"/>
        </w:rPr>
        <w:t>标的债权</w:t>
      </w:r>
      <w:r>
        <w:rPr>
          <w:rFonts w:hint="eastAsia" w:ascii="仿宋" w:hAnsi="仿宋" w:eastAsia="仿宋" w:cs="仿宋"/>
          <w:color w:val="auto"/>
          <w:sz w:val="28"/>
          <w:szCs w:val="28"/>
          <w:lang w:val="en-US" w:eastAsia="zh-CN"/>
        </w:rPr>
        <w:t>的抵押物现已被占用。</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因上述瑕疵或风险涉及法律上的分析、结论不具有唯一性，委托人不发表任何判断性结论，由买受人自行作出判断，委托人不承担任何责任。买受人受让标的债权后，对该标的债权在交割日后的利息或罚息请求权，买受人可能无法继续享有；买受人受让标的债权后，可能无法享有委托人所享有的国家法律政策规定的各项优惠条件和特殊保护，包括但不限于税收和诉讼方面的优惠和特殊保护。</w:t>
      </w:r>
    </w:p>
    <w:p>
      <w:pPr>
        <w:spacing w:line="4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w:t>
      </w:r>
      <w:r>
        <w:rPr>
          <w:rFonts w:hint="eastAsia" w:ascii="仿宋" w:hAnsi="仿宋" w:eastAsia="仿宋" w:cs="仿宋"/>
          <w:color w:val="auto"/>
          <w:sz w:val="28"/>
          <w:szCs w:val="28"/>
          <w:lang w:val="en-US" w:eastAsia="zh-CN"/>
        </w:rPr>
        <w:t>委托人</w:t>
      </w:r>
      <w:r>
        <w:rPr>
          <w:rFonts w:hint="eastAsia" w:ascii="仿宋" w:hAnsi="仿宋" w:eastAsia="仿宋"/>
          <w:color w:val="000000"/>
          <w:sz w:val="28"/>
          <w:szCs w:val="28"/>
        </w:rPr>
        <w:t>追索任何责任，自愿承担一切风险。</w:t>
      </w:r>
      <w:r>
        <w:rPr>
          <w:rFonts w:hint="eastAsia" w:ascii="仿宋" w:hAnsi="仿宋" w:eastAsia="仿宋" w:cs="仿宋"/>
          <w:color w:val="auto"/>
          <w:sz w:val="28"/>
          <w:szCs w:val="28"/>
          <w:lang w:val="en-US" w:eastAsia="zh-CN"/>
        </w:rPr>
        <w:t>委托人</w:t>
      </w:r>
      <w:r>
        <w:rPr>
          <w:rFonts w:hint="eastAsia" w:ascii="仿宋" w:hAnsi="仿宋" w:eastAsia="仿宋"/>
          <w:color w:val="000000"/>
          <w:sz w:val="28"/>
          <w:szCs w:val="28"/>
        </w:rPr>
        <w:t>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s="仿宋"/>
          <w:color w:val="auto"/>
          <w:sz w:val="28"/>
          <w:szCs w:val="28"/>
          <w:lang w:val="en-US" w:eastAsia="zh-CN"/>
        </w:rPr>
        <w:t>委托人</w:t>
      </w:r>
      <w:r>
        <w:rPr>
          <w:rFonts w:hint="eastAsia" w:ascii="仿宋" w:hAnsi="仿宋" w:eastAsia="仿宋"/>
          <w:color w:val="000000"/>
          <w:sz w:val="28"/>
          <w:szCs w:val="28"/>
        </w:rPr>
        <w:t>及前手权利人不承担任何责任。</w:t>
      </w:r>
    </w:p>
    <w:p>
      <w:pPr>
        <w:spacing w:line="440" w:lineRule="exact"/>
        <w:ind w:firstLine="560" w:firstLineChars="200"/>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p>
    <w:p>
      <w:pPr>
        <w:spacing w:line="44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光彩银星拍卖有限公司</w:t>
      </w:r>
    </w:p>
    <w:p>
      <w:pPr>
        <w:spacing w:line="440" w:lineRule="exact"/>
        <w:ind w:firstLine="560" w:firstLineChars="200"/>
        <w:jc w:val="right"/>
        <w:rPr>
          <w:rFonts w:hint="default" w:ascii="仿宋" w:hAnsi="仿宋" w:eastAsia="仿宋"/>
          <w:color w:val="000000"/>
          <w:sz w:val="28"/>
          <w:szCs w:val="28"/>
          <w:lang w:val="en-US" w:eastAsia="zh-CN"/>
        </w:rPr>
      </w:pPr>
      <w:r>
        <w:rPr>
          <w:rFonts w:hint="eastAsia" w:ascii="仿宋" w:hAnsi="仿宋" w:eastAsia="仿宋"/>
          <w:color w:val="000000"/>
          <w:sz w:val="28"/>
          <w:szCs w:val="28"/>
        </w:rPr>
        <w:t xml:space="preserve">              　　       </w:t>
      </w:r>
      <w:r>
        <w:rPr>
          <w:rFonts w:hint="eastAsia" w:ascii="仿宋" w:hAnsi="仿宋" w:eastAsia="仿宋" w:cs="Times New Roman"/>
          <w:color w:val="000000"/>
          <w:sz w:val="28"/>
          <w:szCs w:val="28"/>
          <w:lang w:val="en-US" w:eastAsia="zh-CN"/>
        </w:rPr>
        <w:t>2023年3月17日</w:t>
      </w: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w:t>
      </w:r>
      <w:r>
        <w:rPr>
          <w:rFonts w:hint="eastAsia" w:ascii="仿宋" w:hAnsi="仿宋" w:eastAsia="仿宋"/>
          <w:color w:val="000000"/>
          <w:sz w:val="28"/>
          <w:szCs w:val="28"/>
          <w:lang w:val="en-US" w:eastAsia="zh-CN"/>
        </w:rPr>
        <w:t>委托人</w:t>
      </w:r>
      <w:r>
        <w:rPr>
          <w:rFonts w:hint="eastAsia" w:ascii="仿宋" w:hAnsi="仿宋" w:eastAsia="仿宋"/>
          <w:color w:val="000000"/>
          <w:sz w:val="28"/>
          <w:szCs w:val="28"/>
        </w:rPr>
        <w:t>追索任何责任。我方承诺不因上述瑕疵或风险而要求</w:t>
      </w:r>
      <w:r>
        <w:rPr>
          <w:rFonts w:hint="eastAsia" w:ascii="仿宋" w:hAnsi="仿宋" w:eastAsia="仿宋"/>
          <w:color w:val="000000"/>
          <w:sz w:val="28"/>
          <w:szCs w:val="28"/>
          <w:lang w:val="en-US" w:eastAsia="zh-CN"/>
        </w:rPr>
        <w:t>委托人</w:t>
      </w:r>
      <w:r>
        <w:rPr>
          <w:rFonts w:hint="eastAsia" w:ascii="仿宋" w:hAnsi="仿宋" w:eastAsia="仿宋"/>
          <w:color w:val="000000"/>
          <w:sz w:val="28"/>
          <w:szCs w:val="28"/>
        </w:rPr>
        <w:t>赔偿、回购或承担任何责任，并放弃主张转让协议无效或要求人民法院撤销转让协议，或以贷款债权存在上述瑕疵或风险作为减轻或免除其义务和责任的抗辩理由。我方同时承诺，其从</w:t>
      </w:r>
      <w:r>
        <w:rPr>
          <w:rFonts w:hint="eastAsia" w:ascii="仿宋" w:hAnsi="仿宋" w:eastAsia="仿宋"/>
          <w:color w:val="000000"/>
          <w:sz w:val="28"/>
          <w:szCs w:val="28"/>
          <w:lang w:val="en-US" w:eastAsia="zh-CN"/>
        </w:rPr>
        <w:t>委托人</w:t>
      </w:r>
      <w:r>
        <w:rPr>
          <w:rFonts w:hint="eastAsia" w:ascii="仿宋" w:hAnsi="仿宋" w:eastAsia="仿宋"/>
          <w:color w:val="000000"/>
          <w:sz w:val="28"/>
          <w:szCs w:val="28"/>
        </w:rPr>
        <w:t>处受让债权后将该等债权再行转让给第三方的，若第三方在主张权利过程中不能实现债权而发生纠纷的，由我方承担责任，不向</w:t>
      </w:r>
      <w:r>
        <w:rPr>
          <w:rFonts w:hint="eastAsia" w:ascii="仿宋" w:hAnsi="仿宋" w:eastAsia="仿宋"/>
          <w:color w:val="000000"/>
          <w:sz w:val="28"/>
          <w:szCs w:val="28"/>
          <w:lang w:val="en-US" w:eastAsia="zh-CN"/>
        </w:rPr>
        <w:t>委托人</w:t>
      </w:r>
      <w:r>
        <w:rPr>
          <w:rFonts w:hint="eastAsia" w:ascii="仿宋" w:hAnsi="仿宋" w:eastAsia="仿宋"/>
          <w:color w:val="000000"/>
          <w:sz w:val="28"/>
          <w:szCs w:val="28"/>
        </w:rPr>
        <w:t>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w:t>
      </w:r>
      <w:r>
        <w:rPr>
          <w:rFonts w:hint="eastAsia" w:ascii="仿宋" w:hAnsi="仿宋" w:eastAsia="仿宋"/>
          <w:color w:val="000000"/>
          <w:sz w:val="28"/>
          <w:szCs w:val="28"/>
          <w:lang w:val="en-US" w:eastAsia="zh-CN"/>
        </w:rPr>
        <w:t>委托人</w:t>
      </w:r>
      <w:r>
        <w:rPr>
          <w:rFonts w:hint="eastAsia" w:ascii="仿宋" w:hAnsi="仿宋" w:eastAsia="仿宋"/>
          <w:color w:val="000000"/>
          <w:sz w:val="28"/>
          <w:szCs w:val="28"/>
        </w:rPr>
        <w:t>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w:t>
      </w:r>
      <w:r>
        <w:rPr>
          <w:rFonts w:hint="eastAsia" w:ascii="仿宋" w:hAnsi="仿宋" w:eastAsia="仿宋"/>
          <w:color w:val="000000"/>
          <w:sz w:val="28"/>
          <w:szCs w:val="28"/>
          <w:lang w:val="en-US" w:eastAsia="zh-CN"/>
        </w:rPr>
        <w:t>委托人</w:t>
      </w:r>
      <w:r>
        <w:rPr>
          <w:rFonts w:hint="eastAsia" w:ascii="仿宋" w:hAnsi="仿宋" w:eastAsia="仿宋"/>
          <w:color w:val="000000"/>
          <w:sz w:val="28"/>
          <w:szCs w:val="28"/>
        </w:rPr>
        <w:t>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w:t>
      </w:r>
      <w:r>
        <w:rPr>
          <w:rFonts w:hint="eastAsia" w:ascii="仿宋" w:hAnsi="仿宋" w:eastAsia="仿宋"/>
          <w:color w:val="000000"/>
          <w:sz w:val="28"/>
          <w:szCs w:val="28"/>
          <w:lang w:val="en-US" w:eastAsia="zh-CN"/>
        </w:rPr>
        <w:t>委托人</w:t>
      </w:r>
      <w:r>
        <w:rPr>
          <w:rFonts w:hint="eastAsia" w:ascii="仿宋" w:hAnsi="仿宋" w:eastAsia="仿宋"/>
          <w:color w:val="000000"/>
          <w:sz w:val="28"/>
          <w:szCs w:val="28"/>
        </w:rPr>
        <w:t>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w:t>
      </w:r>
      <w:r>
        <w:rPr>
          <w:rFonts w:hint="eastAsia" w:ascii="仿宋" w:hAnsi="仿宋" w:eastAsia="仿宋"/>
          <w:color w:val="000000"/>
          <w:sz w:val="28"/>
          <w:szCs w:val="28"/>
          <w:lang w:val="en-US" w:eastAsia="zh-CN"/>
        </w:rPr>
        <w:t>委托人</w:t>
      </w:r>
      <w:r>
        <w:rPr>
          <w:rFonts w:hint="eastAsia" w:ascii="仿宋" w:hAnsi="仿宋" w:eastAsia="仿宋"/>
          <w:color w:val="000000"/>
          <w:sz w:val="28"/>
          <w:szCs w:val="28"/>
        </w:rPr>
        <w:t>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rPr>
          <w:rFonts w:hint="eastAsia" w:ascii="仿宋" w:hAnsi="仿宋" w:eastAsia="仿宋"/>
          <w:color w:val="000000"/>
          <w:sz w:val="28"/>
          <w:szCs w:val="28"/>
        </w:rPr>
      </w:pPr>
    </w:p>
    <w:p>
      <w:pPr>
        <w:snapToGrid w:val="0"/>
        <w:spacing w:line="480" w:lineRule="exact"/>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spacing w:line="480" w:lineRule="exact"/>
        <w:ind w:firstLine="0" w:firstLineChars="0"/>
        <w:jc w:val="right"/>
        <w:rPr>
          <w:rFonts w:hint="eastAsia" w:ascii="仿宋" w:hAnsi="仿宋" w:eastAsia="仿宋" w:cs="Times New Roman"/>
          <w:color w:val="000000"/>
          <w:sz w:val="28"/>
          <w:szCs w:val="28"/>
          <w:lang w:val="en-US" w:eastAsia="zh-CN"/>
        </w:rPr>
      </w:pPr>
      <w:bookmarkStart w:id="3" w:name="_GoBack"/>
      <w:bookmarkEnd w:id="3"/>
    </w:p>
    <w:p>
      <w:pPr>
        <w:spacing w:line="480" w:lineRule="exact"/>
        <w:ind w:firstLine="0" w:firstLineChars="0"/>
        <w:jc w:val="right"/>
        <w:rPr>
          <w:rFonts w:hint="eastAsia" w:ascii="仿宋" w:hAnsi="仿宋" w:eastAsia="仿宋" w:cs="Times New Roman"/>
          <w:color w:val="000000"/>
          <w:sz w:val="28"/>
          <w:szCs w:val="28"/>
          <w:lang w:val="en-US" w:eastAsia="zh-CN"/>
        </w:rPr>
      </w:pPr>
    </w:p>
    <w:p>
      <w:pPr>
        <w:spacing w:line="480" w:lineRule="exact"/>
        <w:ind w:firstLine="0" w:firstLineChars="0"/>
        <w:jc w:val="right"/>
        <w:rPr>
          <w:rFonts w:hint="eastAsia" w:ascii="仿宋" w:hAnsi="仿宋" w:eastAsia="仿宋" w:cs="Times New Roman"/>
          <w:color w:val="000000"/>
          <w:sz w:val="28"/>
          <w:szCs w:val="28"/>
          <w:lang w:val="en-US" w:eastAsia="zh-CN"/>
        </w:rPr>
      </w:pPr>
    </w:p>
    <w:p>
      <w:pPr>
        <w:spacing w:line="480" w:lineRule="exact"/>
        <w:ind w:firstLine="0" w:firstLineChars="0"/>
        <w:jc w:val="right"/>
        <w:rPr>
          <w:rFonts w:hint="eastAsia" w:ascii="仿宋" w:hAnsi="仿宋" w:eastAsia="仿宋"/>
          <w:color w:val="000000"/>
          <w:sz w:val="28"/>
          <w:szCs w:val="28"/>
        </w:rPr>
      </w:pPr>
      <w:r>
        <w:rPr>
          <w:rFonts w:hint="eastAsia" w:ascii="仿宋" w:hAnsi="仿宋" w:eastAsia="仿宋" w:cs="Times New Roman"/>
          <w:color w:val="000000"/>
          <w:sz w:val="28"/>
          <w:szCs w:val="28"/>
          <w:lang w:val="en-US" w:eastAsia="zh-CN"/>
        </w:rPr>
        <w:t>2023年3月17日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w:t xml:space="preserve">                                           </w:t>
    </w:r>
    <w:r>
      <w:fldChar w:fldCharType="begin"/>
    </w:r>
    <w:r>
      <w:rPr>
        <w:rStyle w:val="13"/>
      </w:rPr>
      <w:instrText xml:space="preserve"> PAGE </w:instrText>
    </w:r>
    <w:r>
      <w:fldChar w:fldCharType="separate"/>
    </w:r>
    <w:r>
      <w:rPr>
        <w:rStyle w:val="13"/>
      </w:rP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ZDZjZDIxYTY3N2MwYmMzNTlmNDJjMGYyYmY0YTUifQ=="/>
  </w:docVars>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13B3BC3"/>
    <w:rsid w:val="05B272AB"/>
    <w:rsid w:val="05C8582C"/>
    <w:rsid w:val="05E32322"/>
    <w:rsid w:val="06B1427F"/>
    <w:rsid w:val="091B6180"/>
    <w:rsid w:val="0B436BBC"/>
    <w:rsid w:val="0C882713"/>
    <w:rsid w:val="0CD60484"/>
    <w:rsid w:val="0D0B5C6F"/>
    <w:rsid w:val="0DD16F2B"/>
    <w:rsid w:val="0EE17BF8"/>
    <w:rsid w:val="0F64201F"/>
    <w:rsid w:val="1029032B"/>
    <w:rsid w:val="10744EA1"/>
    <w:rsid w:val="11562B7C"/>
    <w:rsid w:val="11A74E57"/>
    <w:rsid w:val="12ED1A44"/>
    <w:rsid w:val="151E573F"/>
    <w:rsid w:val="16DF309E"/>
    <w:rsid w:val="1A405F82"/>
    <w:rsid w:val="203E3D32"/>
    <w:rsid w:val="21A24D84"/>
    <w:rsid w:val="24EC04AE"/>
    <w:rsid w:val="262C38E5"/>
    <w:rsid w:val="26767A40"/>
    <w:rsid w:val="28802805"/>
    <w:rsid w:val="288F06C4"/>
    <w:rsid w:val="29CC3486"/>
    <w:rsid w:val="2D4970B4"/>
    <w:rsid w:val="2EE705ED"/>
    <w:rsid w:val="31E46D2A"/>
    <w:rsid w:val="328E7C80"/>
    <w:rsid w:val="32DE71D4"/>
    <w:rsid w:val="344F3837"/>
    <w:rsid w:val="34D95A2F"/>
    <w:rsid w:val="350332FC"/>
    <w:rsid w:val="35824CBB"/>
    <w:rsid w:val="36D56EDC"/>
    <w:rsid w:val="3723716F"/>
    <w:rsid w:val="3794180A"/>
    <w:rsid w:val="380F1298"/>
    <w:rsid w:val="3970230F"/>
    <w:rsid w:val="39794CA3"/>
    <w:rsid w:val="3AF4543E"/>
    <w:rsid w:val="3BE35D9E"/>
    <w:rsid w:val="3DA66418"/>
    <w:rsid w:val="3DB10FA6"/>
    <w:rsid w:val="3DEA3BE4"/>
    <w:rsid w:val="407A0D74"/>
    <w:rsid w:val="411421CE"/>
    <w:rsid w:val="42A45AE6"/>
    <w:rsid w:val="4322216B"/>
    <w:rsid w:val="43DF701A"/>
    <w:rsid w:val="44454AF5"/>
    <w:rsid w:val="4530620C"/>
    <w:rsid w:val="456E3B75"/>
    <w:rsid w:val="458E38F9"/>
    <w:rsid w:val="45BE3EF9"/>
    <w:rsid w:val="45F41678"/>
    <w:rsid w:val="46115D68"/>
    <w:rsid w:val="465D2D4B"/>
    <w:rsid w:val="46CE3FCB"/>
    <w:rsid w:val="46FB29E3"/>
    <w:rsid w:val="48340614"/>
    <w:rsid w:val="48853BDF"/>
    <w:rsid w:val="48D4393E"/>
    <w:rsid w:val="4A10618D"/>
    <w:rsid w:val="4B982BD6"/>
    <w:rsid w:val="4C4966C7"/>
    <w:rsid w:val="4D016C27"/>
    <w:rsid w:val="4E4C0C5D"/>
    <w:rsid w:val="4EB93E21"/>
    <w:rsid w:val="4F390BF3"/>
    <w:rsid w:val="524904A8"/>
    <w:rsid w:val="527032EE"/>
    <w:rsid w:val="52DE10F4"/>
    <w:rsid w:val="53402632"/>
    <w:rsid w:val="5596685A"/>
    <w:rsid w:val="55A2018D"/>
    <w:rsid w:val="59BD1BF1"/>
    <w:rsid w:val="5B0828CC"/>
    <w:rsid w:val="5CBD3F91"/>
    <w:rsid w:val="5DE058AC"/>
    <w:rsid w:val="610A730B"/>
    <w:rsid w:val="61DC4792"/>
    <w:rsid w:val="6280424D"/>
    <w:rsid w:val="62CE3E51"/>
    <w:rsid w:val="6308227E"/>
    <w:rsid w:val="63D13582"/>
    <w:rsid w:val="64DF4A2F"/>
    <w:rsid w:val="64F36AD7"/>
    <w:rsid w:val="666305B8"/>
    <w:rsid w:val="686776F9"/>
    <w:rsid w:val="69780FAF"/>
    <w:rsid w:val="69937D30"/>
    <w:rsid w:val="69C340F2"/>
    <w:rsid w:val="6A376E5B"/>
    <w:rsid w:val="6B56310C"/>
    <w:rsid w:val="6D807B87"/>
    <w:rsid w:val="6DF94A8D"/>
    <w:rsid w:val="71CA022E"/>
    <w:rsid w:val="72060FAF"/>
    <w:rsid w:val="72351628"/>
    <w:rsid w:val="74C6592B"/>
    <w:rsid w:val="74F3142E"/>
    <w:rsid w:val="752A3B98"/>
    <w:rsid w:val="75482095"/>
    <w:rsid w:val="7AF50549"/>
    <w:rsid w:val="7BCC739F"/>
    <w:rsid w:val="7C4A0820"/>
    <w:rsid w:val="7CB55B55"/>
    <w:rsid w:val="7CFA3A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Body Text"/>
    <w:basedOn w:val="1"/>
    <w:qFormat/>
    <w:uiPriority w:val="0"/>
    <w:rPr>
      <w:rFonts w:eastAsia="仿宋_GB2312"/>
      <w:sz w:val="32"/>
    </w:rPr>
  </w:style>
  <w:style w:type="paragraph" w:styleId="4">
    <w:name w:val="Body Text Indent"/>
    <w:basedOn w:val="1"/>
    <w:qFormat/>
    <w:uiPriority w:val="0"/>
    <w:pPr>
      <w:spacing w:after="120" w:afterLines="0"/>
      <w:ind w:left="420" w:leftChars="200"/>
    </w:pPr>
  </w:style>
  <w:style w:type="paragraph" w:styleId="5">
    <w:name w:val="Date"/>
    <w:basedOn w:val="1"/>
    <w:next w:val="1"/>
    <w:link w:val="17"/>
    <w:qFormat/>
    <w:uiPriority w:val="0"/>
    <w:pPr>
      <w:ind w:left="100" w:leftChars="2500"/>
    </w:pPr>
    <w:rPr>
      <w:kern w:val="2"/>
      <w:sz w:val="21"/>
      <w:szCs w:val="24"/>
    </w:rPr>
  </w:style>
  <w:style w:type="paragraph" w:styleId="6">
    <w:name w:val="Body Text Indent 2"/>
    <w:basedOn w:val="1"/>
    <w:qFormat/>
    <w:uiPriority w:val="0"/>
    <w:pPr>
      <w:ind w:firstLine="642" w:firstLineChars="200"/>
    </w:pPr>
    <w:rPr>
      <w:rFonts w:eastAsia="仿宋_GB2312"/>
      <w:sz w:val="3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2">
    <w:name w:val="_Style 7"/>
    <w:basedOn w:val="1"/>
    <w:link w:val="11"/>
    <w:qFormat/>
    <w:uiPriority w:val="0"/>
  </w:style>
  <w:style w:type="character" w:styleId="13">
    <w:name w:val="page number"/>
    <w:basedOn w:val="11"/>
    <w:qFormat/>
    <w:uiPriority w:val="0"/>
  </w:style>
  <w:style w:type="paragraph" w:customStyle="1" w:styleId="14">
    <w:name w:val="Char"/>
    <w:basedOn w:val="1"/>
    <w:qFormat/>
    <w:uiPriority w:val="0"/>
  </w:style>
  <w:style w:type="paragraph" w:customStyle="1" w:styleId="15">
    <w:name w:val="默认段落字体 Para Char Char Char Char Char Char Char"/>
    <w:basedOn w:val="1"/>
    <w:qFormat/>
    <w:uiPriority w:val="0"/>
  </w:style>
  <w:style w:type="paragraph" w:customStyle="1" w:styleId="16">
    <w:name w:val=" Char"/>
    <w:basedOn w:val="1"/>
    <w:qFormat/>
    <w:uiPriority w:val="0"/>
  </w:style>
  <w:style w:type="character" w:customStyle="1" w:styleId="17">
    <w:name w:val="日期 Char"/>
    <w:link w:val="5"/>
    <w:qFormat/>
    <w:uiPriority w:val="0"/>
    <w:rPr>
      <w:kern w:val="2"/>
      <w:sz w:val="21"/>
      <w:szCs w:val="24"/>
    </w:rPr>
  </w:style>
  <w:style w:type="character" w:customStyle="1" w:styleId="18">
    <w:name w:val="页眉 Char Char"/>
    <w:link w:val="9"/>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GWAMCC</Company>
  <Pages>4</Pages>
  <Words>2273</Words>
  <Characters>2351</Characters>
  <Lines>16</Lines>
  <Paragraphs>4</Paragraphs>
  <TotalTime>0</TotalTime>
  <ScaleCrop>false</ScaleCrop>
  <LinksUpToDate>false</LinksUpToDate>
  <CharactersWithSpaces>2397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PHILIPS</cp:lastModifiedBy>
  <cp:lastPrinted>2020-09-15T05:38:00Z</cp:lastPrinted>
  <dcterms:modified xsi:type="dcterms:W3CDTF">2023-03-15T09:14:10Z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C4933C50C32445ACBDAF434C41963F1D</vt:lpwstr>
  </property>
</Properties>
</file>