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723" w:firstLineChars="200"/>
        <w:jc w:val="center"/>
        <w:rPr>
          <w:rFonts w:hint="eastAsia" w:ascii="仿宋" w:hAnsi="仿宋" w:eastAsia="仿宋" w:cs="仿宋"/>
          <w:b/>
          <w:bCs/>
          <w:color w:val="000000"/>
          <w:sz w:val="36"/>
          <w:szCs w:val="36"/>
          <w:lang w:eastAsia="zh-CN"/>
        </w:rPr>
      </w:pPr>
      <w:r>
        <w:rPr>
          <w:rFonts w:hint="eastAsia" w:ascii="仿宋" w:hAnsi="仿宋" w:eastAsia="仿宋" w:cs="仿宋"/>
          <w:b/>
          <w:bCs/>
          <w:color w:val="000000"/>
          <w:sz w:val="36"/>
          <w:szCs w:val="36"/>
          <w:lang w:eastAsia="zh-CN"/>
        </w:rPr>
        <w:t>竞</w:t>
      </w:r>
      <w:r>
        <w:rPr>
          <w:rFonts w:hint="eastAsia" w:ascii="仿宋" w:hAnsi="仿宋" w:eastAsia="仿宋" w:cs="仿宋"/>
          <w:b/>
          <w:bCs/>
          <w:color w:val="000000"/>
          <w:sz w:val="36"/>
          <w:szCs w:val="36"/>
          <w:lang w:val="en-US" w:eastAsia="zh-CN"/>
        </w:rPr>
        <w:t xml:space="preserve"> </w:t>
      </w:r>
      <w:r>
        <w:rPr>
          <w:rFonts w:hint="eastAsia" w:ascii="仿宋" w:hAnsi="仿宋" w:eastAsia="仿宋" w:cs="仿宋"/>
          <w:b/>
          <w:bCs/>
          <w:color w:val="000000"/>
          <w:sz w:val="36"/>
          <w:szCs w:val="36"/>
          <w:lang w:eastAsia="zh-CN"/>
        </w:rPr>
        <w:t>买</w:t>
      </w:r>
      <w:r>
        <w:rPr>
          <w:rFonts w:hint="eastAsia" w:ascii="仿宋" w:hAnsi="仿宋" w:eastAsia="仿宋" w:cs="仿宋"/>
          <w:b/>
          <w:bCs/>
          <w:color w:val="000000"/>
          <w:sz w:val="36"/>
          <w:szCs w:val="36"/>
          <w:lang w:val="en-US" w:eastAsia="zh-CN"/>
        </w:rPr>
        <w:t xml:space="preserve"> </w:t>
      </w:r>
      <w:r>
        <w:rPr>
          <w:rFonts w:hint="eastAsia" w:ascii="仿宋" w:hAnsi="仿宋" w:eastAsia="仿宋" w:cs="仿宋"/>
          <w:b/>
          <w:bCs/>
          <w:color w:val="000000"/>
          <w:sz w:val="36"/>
          <w:szCs w:val="36"/>
          <w:lang w:eastAsia="zh-CN"/>
        </w:rPr>
        <w:t>须</w:t>
      </w:r>
      <w:r>
        <w:rPr>
          <w:rFonts w:hint="eastAsia" w:ascii="仿宋" w:hAnsi="仿宋" w:eastAsia="仿宋" w:cs="仿宋"/>
          <w:b/>
          <w:bCs/>
          <w:color w:val="000000"/>
          <w:sz w:val="36"/>
          <w:szCs w:val="36"/>
          <w:lang w:val="en-US" w:eastAsia="zh-CN"/>
        </w:rPr>
        <w:t xml:space="preserve"> </w:t>
      </w:r>
      <w:r>
        <w:rPr>
          <w:rFonts w:hint="eastAsia" w:ascii="仿宋" w:hAnsi="仿宋" w:eastAsia="仿宋" w:cs="仿宋"/>
          <w:b/>
          <w:bCs/>
          <w:color w:val="000000"/>
          <w:sz w:val="36"/>
          <w:szCs w:val="36"/>
          <w:lang w:eastAsia="zh-CN"/>
        </w:rPr>
        <w:t>知</w:t>
      </w:r>
    </w:p>
    <w:p>
      <w:pPr>
        <w:snapToGrid w:val="0"/>
        <w:spacing w:line="500" w:lineRule="exact"/>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本公司遵循“公开、公平、公正、诚实信用”的原则，依法对委托标的物进行公开拍卖，为规范拍卖行为，维护拍卖秩序，保障拍卖活动中各方当事人的合法权益，依据《中华人民共和国拍卖法》特制定本须知：</w:t>
      </w:r>
    </w:p>
    <w:p>
      <w:pPr>
        <w:snapToGrid/>
        <w:spacing w:line="240" w:lineRule="auto"/>
        <w:ind w:firstLine="560" w:firstLineChars="200"/>
        <w:rPr>
          <w:rFonts w:hint="eastAsia" w:ascii="仿宋" w:hAnsi="仿宋" w:eastAsia="仿宋" w:cs="仿宋"/>
          <w:b/>
          <w:bCs/>
          <w:i w:val="0"/>
          <w:caps w:val="0"/>
          <w:color w:val="auto"/>
          <w:spacing w:val="0"/>
          <w:kern w:val="2"/>
          <w:sz w:val="28"/>
          <w:szCs w:val="28"/>
          <w:u w:val="single"/>
          <w:shd w:val="clear" w:fill="auto"/>
          <w:lang w:val="en-US" w:eastAsia="zh-CN" w:bidi="ar"/>
        </w:rPr>
      </w:pPr>
      <w:r>
        <w:rPr>
          <w:rFonts w:hint="eastAsia" w:ascii="仿宋" w:hAnsi="仿宋" w:eastAsia="仿宋" w:cs="仿宋"/>
          <w:color w:val="auto"/>
          <w:sz w:val="28"/>
          <w:szCs w:val="28"/>
          <w:lang w:eastAsia="zh-CN"/>
        </w:rPr>
        <w:t>拍卖标的：</w:t>
      </w:r>
      <w:r>
        <w:rPr>
          <w:rFonts w:hint="eastAsia" w:ascii="仿宋" w:hAnsi="仿宋" w:eastAsia="仿宋" w:cs="仿宋"/>
          <w:b/>
          <w:bCs/>
          <w:i w:val="0"/>
          <w:caps w:val="0"/>
          <w:color w:val="auto"/>
          <w:spacing w:val="0"/>
          <w:kern w:val="2"/>
          <w:sz w:val="28"/>
          <w:szCs w:val="28"/>
          <w:u w:val="single"/>
          <w:shd w:val="clear" w:fill="auto"/>
          <w:lang w:val="en-US" w:eastAsia="zh-CN" w:bidi="ar"/>
        </w:rPr>
        <w:t>中国长城资产管理股份有限公司山东省分公司拥有的</w:t>
      </w:r>
      <w:r>
        <w:rPr>
          <w:rFonts w:hint="eastAsia" w:ascii="仿宋" w:hAnsi="仿宋" w:eastAsia="仿宋" w:cs="仿宋"/>
          <w:b/>
          <w:bCs/>
          <w:color w:val="auto"/>
          <w:sz w:val="28"/>
          <w:szCs w:val="28"/>
          <w:u w:val="single"/>
          <w:shd w:val="clear" w:fill="auto"/>
          <w:lang w:eastAsia="zh-CN" w:bidi="ar"/>
        </w:rPr>
        <w:t>山东五谷园油脂有限公司</w:t>
      </w:r>
      <w:r>
        <w:rPr>
          <w:rFonts w:hint="eastAsia" w:ascii="仿宋" w:hAnsi="仿宋" w:eastAsia="仿宋" w:cs="仿宋"/>
          <w:b/>
          <w:bCs/>
          <w:color w:val="auto"/>
          <w:sz w:val="28"/>
          <w:szCs w:val="28"/>
          <w:u w:val="single"/>
          <w:shd w:val="clear" w:fill="auto"/>
          <w:lang w:bidi="ar"/>
        </w:rPr>
        <w:t>债权，截至</w:t>
      </w:r>
      <w:r>
        <w:rPr>
          <w:rFonts w:hint="eastAsia" w:ascii="仿宋" w:hAnsi="仿宋" w:eastAsia="仿宋" w:cs="仿宋"/>
          <w:b/>
          <w:bCs/>
          <w:color w:val="auto"/>
          <w:sz w:val="28"/>
          <w:szCs w:val="28"/>
          <w:u w:val="single"/>
          <w:shd w:val="clear" w:fill="auto"/>
          <w:lang w:eastAsia="zh-CN" w:bidi="ar"/>
        </w:rPr>
        <w:t>2021年</w:t>
      </w:r>
      <w:r>
        <w:rPr>
          <w:rFonts w:hint="eastAsia" w:ascii="仿宋" w:hAnsi="仿宋" w:eastAsia="仿宋" w:cs="仿宋"/>
          <w:b/>
          <w:bCs/>
          <w:color w:val="auto"/>
          <w:sz w:val="28"/>
          <w:szCs w:val="28"/>
          <w:u w:val="single"/>
          <w:shd w:val="clear" w:fill="auto"/>
          <w:lang w:val="en-US" w:eastAsia="zh-CN" w:bidi="ar"/>
        </w:rPr>
        <w:t>3</w:t>
      </w:r>
      <w:r>
        <w:rPr>
          <w:rFonts w:hint="eastAsia" w:ascii="仿宋" w:hAnsi="仿宋" w:eastAsia="仿宋" w:cs="仿宋"/>
          <w:b/>
          <w:bCs/>
          <w:color w:val="auto"/>
          <w:sz w:val="28"/>
          <w:szCs w:val="28"/>
          <w:u w:val="single"/>
          <w:shd w:val="clear" w:fill="auto"/>
          <w:lang w:eastAsia="zh-CN" w:bidi="ar"/>
        </w:rPr>
        <w:t>月20日，</w:t>
      </w:r>
      <w:r>
        <w:rPr>
          <w:rFonts w:hint="eastAsia" w:ascii="仿宋" w:hAnsi="仿宋" w:eastAsia="仿宋" w:cs="仿宋"/>
          <w:b/>
          <w:bCs/>
          <w:color w:val="auto"/>
          <w:sz w:val="28"/>
          <w:szCs w:val="28"/>
          <w:u w:val="single"/>
          <w:shd w:val="clear" w:fill="auto"/>
          <w:lang w:bidi="ar"/>
        </w:rPr>
        <w:t>债权金额合计</w:t>
      </w:r>
      <w:r>
        <w:rPr>
          <w:rFonts w:hint="eastAsia" w:ascii="仿宋" w:hAnsi="仿宋" w:eastAsia="仿宋" w:cs="仿宋"/>
          <w:b/>
          <w:bCs/>
          <w:color w:val="auto"/>
          <w:sz w:val="28"/>
          <w:szCs w:val="28"/>
          <w:u w:val="single"/>
          <w:shd w:val="clear" w:fill="auto"/>
          <w:lang w:eastAsia="zh-CN" w:bidi="ar"/>
        </w:rPr>
        <w:t>为7,738,187.95</w:t>
      </w:r>
      <w:r>
        <w:rPr>
          <w:rFonts w:hint="eastAsia" w:ascii="仿宋" w:hAnsi="仿宋" w:eastAsia="仿宋" w:cs="仿宋"/>
          <w:b/>
          <w:bCs/>
          <w:color w:val="auto"/>
          <w:sz w:val="28"/>
          <w:szCs w:val="28"/>
          <w:u w:val="single"/>
          <w:shd w:val="clear" w:fill="auto"/>
          <w:lang w:bidi="ar"/>
        </w:rPr>
        <w:t>元，其中：本金</w:t>
      </w:r>
      <w:r>
        <w:rPr>
          <w:rFonts w:hint="eastAsia" w:ascii="仿宋" w:hAnsi="仿宋" w:eastAsia="仿宋" w:cs="仿宋"/>
          <w:b/>
          <w:bCs/>
          <w:color w:val="auto"/>
          <w:sz w:val="28"/>
          <w:szCs w:val="28"/>
          <w:u w:val="single"/>
          <w:shd w:val="clear" w:fill="auto"/>
          <w:lang w:eastAsia="zh-CN" w:bidi="ar"/>
        </w:rPr>
        <w:t>为6,440,305.95</w:t>
      </w:r>
      <w:r>
        <w:rPr>
          <w:rFonts w:hint="eastAsia" w:ascii="仿宋" w:hAnsi="仿宋" w:eastAsia="仿宋" w:cs="仿宋"/>
          <w:b/>
          <w:bCs/>
          <w:color w:val="auto"/>
          <w:sz w:val="28"/>
          <w:szCs w:val="28"/>
          <w:u w:val="single"/>
          <w:shd w:val="clear" w:fill="auto"/>
          <w:lang w:bidi="ar"/>
        </w:rPr>
        <w:t>元</w:t>
      </w:r>
      <w:r>
        <w:rPr>
          <w:rFonts w:hint="eastAsia" w:ascii="仿宋" w:hAnsi="仿宋" w:eastAsia="仿宋" w:cs="仿宋"/>
          <w:b/>
          <w:bCs/>
          <w:color w:val="auto"/>
          <w:sz w:val="28"/>
          <w:szCs w:val="28"/>
          <w:u w:val="single"/>
          <w:shd w:val="clear" w:fill="auto"/>
          <w:lang w:eastAsia="zh-CN" w:bidi="ar"/>
        </w:rPr>
        <w:t>，</w:t>
      </w:r>
      <w:r>
        <w:rPr>
          <w:rFonts w:hint="eastAsia" w:ascii="仿宋" w:hAnsi="仿宋" w:eastAsia="仿宋" w:cs="仿宋"/>
          <w:b/>
          <w:bCs/>
          <w:color w:val="auto"/>
          <w:sz w:val="28"/>
          <w:szCs w:val="28"/>
          <w:u w:val="single"/>
          <w:shd w:val="clear" w:fill="auto"/>
          <w:lang w:bidi="ar"/>
        </w:rPr>
        <w:t>利息</w:t>
      </w:r>
      <w:r>
        <w:rPr>
          <w:rFonts w:hint="eastAsia" w:ascii="仿宋" w:hAnsi="仿宋" w:eastAsia="仿宋" w:cs="仿宋"/>
          <w:b/>
          <w:bCs/>
          <w:color w:val="auto"/>
          <w:sz w:val="28"/>
          <w:szCs w:val="28"/>
          <w:u w:val="single"/>
          <w:shd w:val="clear" w:fill="auto"/>
          <w:lang w:eastAsia="zh-CN" w:bidi="ar"/>
        </w:rPr>
        <w:t>为1,297,882.00</w:t>
      </w:r>
      <w:r>
        <w:rPr>
          <w:rFonts w:hint="eastAsia" w:ascii="仿宋" w:hAnsi="仿宋" w:eastAsia="仿宋" w:cs="仿宋"/>
          <w:b/>
          <w:bCs/>
          <w:color w:val="auto"/>
          <w:sz w:val="28"/>
          <w:szCs w:val="28"/>
          <w:u w:val="single"/>
          <w:shd w:val="clear" w:fill="auto"/>
          <w:lang w:bidi="ar"/>
        </w:rPr>
        <w:t>元（</w:t>
      </w:r>
      <w:r>
        <w:rPr>
          <w:rFonts w:hint="eastAsia" w:ascii="仿宋" w:hAnsi="仿宋" w:eastAsia="仿宋" w:cs="仿宋"/>
          <w:b/>
          <w:bCs/>
          <w:color w:val="auto"/>
          <w:sz w:val="28"/>
          <w:szCs w:val="28"/>
          <w:u w:val="single"/>
          <w:shd w:val="clear" w:fill="auto"/>
          <w:lang w:eastAsia="zh-CN" w:bidi="ar"/>
        </w:rPr>
        <w:t>2021年</w:t>
      </w:r>
      <w:r>
        <w:rPr>
          <w:rFonts w:hint="eastAsia" w:ascii="仿宋" w:hAnsi="仿宋" w:eastAsia="仿宋" w:cs="仿宋"/>
          <w:b/>
          <w:bCs/>
          <w:color w:val="auto"/>
          <w:sz w:val="28"/>
          <w:szCs w:val="28"/>
          <w:u w:val="single"/>
          <w:shd w:val="clear" w:fill="auto"/>
          <w:lang w:val="en-US" w:eastAsia="zh-CN" w:bidi="ar"/>
        </w:rPr>
        <w:t>3</w:t>
      </w:r>
      <w:r>
        <w:rPr>
          <w:rFonts w:hint="eastAsia" w:ascii="仿宋" w:hAnsi="仿宋" w:eastAsia="仿宋" w:cs="仿宋"/>
          <w:b/>
          <w:bCs/>
          <w:color w:val="auto"/>
          <w:sz w:val="28"/>
          <w:szCs w:val="28"/>
          <w:u w:val="single"/>
          <w:shd w:val="clear" w:fill="auto"/>
          <w:lang w:eastAsia="zh-CN" w:bidi="ar"/>
        </w:rPr>
        <w:t>月20日</w:t>
      </w:r>
      <w:r>
        <w:rPr>
          <w:rFonts w:hint="eastAsia" w:ascii="仿宋" w:hAnsi="仿宋" w:eastAsia="仿宋" w:cs="仿宋"/>
          <w:b/>
          <w:bCs/>
          <w:color w:val="auto"/>
          <w:sz w:val="28"/>
          <w:szCs w:val="28"/>
          <w:u w:val="single"/>
          <w:shd w:val="clear" w:fill="auto"/>
          <w:lang w:bidi="ar"/>
        </w:rPr>
        <w:t>之后产生的利息，以及与不良贷款债权相关的从权利亦在本次拍卖范围内）</w:t>
      </w:r>
      <w:r>
        <w:rPr>
          <w:rFonts w:hint="eastAsia" w:ascii="仿宋" w:hAnsi="仿宋" w:eastAsia="仿宋" w:cs="仿宋"/>
          <w:b/>
          <w:bCs/>
          <w:color w:val="auto"/>
          <w:kern w:val="2"/>
          <w:sz w:val="28"/>
          <w:szCs w:val="28"/>
          <w:u w:val="single"/>
          <w:shd w:val="clear" w:fill="auto"/>
          <w:lang w:val="en-US" w:eastAsia="zh-CN" w:bidi="ar"/>
        </w:rPr>
        <w:t>，现状拍卖</w:t>
      </w:r>
      <w:r>
        <w:rPr>
          <w:rFonts w:hint="eastAsia" w:ascii="仿宋" w:hAnsi="仿宋" w:eastAsia="仿宋" w:cs="仿宋"/>
          <w:b/>
          <w:bCs/>
          <w:i w:val="0"/>
          <w:caps w:val="0"/>
          <w:color w:val="auto"/>
          <w:spacing w:val="0"/>
          <w:kern w:val="2"/>
          <w:sz w:val="28"/>
          <w:szCs w:val="28"/>
          <w:u w:val="single"/>
          <w:shd w:val="clear" w:fill="auto"/>
          <w:lang w:val="en-US" w:eastAsia="zh-CN" w:bidi="ar"/>
        </w:rPr>
        <w:t>。最终债权金额、担保等情况以委托人与买受人签署的《债权转让协议》和双方移交材料为准，拍卖人提供的相关资料仅供参考。</w:t>
      </w:r>
    </w:p>
    <w:p>
      <w:pPr>
        <w:snapToGrid w:val="0"/>
        <w:spacing w:line="500" w:lineRule="exact"/>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于上述拍卖标的</w:t>
      </w:r>
      <w:r>
        <w:rPr>
          <w:rFonts w:hint="eastAsia" w:ascii="仿宋" w:hAnsi="仿宋" w:eastAsia="仿宋" w:cs="仿宋"/>
          <w:color w:val="auto"/>
          <w:sz w:val="28"/>
          <w:szCs w:val="28"/>
        </w:rPr>
        <w:t>，我公司在此提示风险如下，请竞买人自行把握竞买风险：</w:t>
      </w:r>
    </w:p>
    <w:p>
      <w:pPr>
        <w:snapToGrid w:val="0"/>
        <w:spacing w:line="500" w:lineRule="exact"/>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1. 竞买人已被告知并完全理解，长城公司山东分公司转让给竞买人的贷款债权，存在或可能存在下列瑕疵或风险，且因长城公司山东分公司并非贷款债权的原始权利人，长城公司山东分公司无法对其承继的、由任何第三方制作的贷款债权证明文件的真实性、有效性、准确性和完整性提供保证，以至于竞买人受让贷款债权的预期利益可能无法实现。该等瑕疵或风险包括但不限于下列一项或多项：</w:t>
      </w:r>
    </w:p>
    <w:p>
      <w:pPr>
        <w:snapToGrid w:val="0"/>
        <w:spacing w:line="500" w:lineRule="exact"/>
        <w:ind w:right="0" w:firstLine="548" w:firstLineChars="196"/>
        <w:rPr>
          <w:rFonts w:hint="eastAsia" w:ascii="仿宋" w:hAnsi="仿宋" w:eastAsia="仿宋" w:cs="仿宋"/>
          <w:b w:val="0"/>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val="0"/>
          <w:color w:val="auto"/>
          <w:sz w:val="28"/>
          <w:szCs w:val="28"/>
        </w:rPr>
        <w:t>.1标的债权系不良资产，存在着部分或全部不能回收的风险特性以及清收的困难性</w:t>
      </w:r>
      <w:r>
        <w:rPr>
          <w:rFonts w:hint="eastAsia" w:ascii="仿宋" w:hAnsi="仿宋" w:eastAsia="仿宋" w:cs="仿宋"/>
          <w:b w:val="0"/>
          <w:color w:val="auto"/>
          <w:sz w:val="28"/>
          <w:szCs w:val="28"/>
          <w:lang w:eastAsia="zh-CN"/>
        </w:rPr>
        <w:t>。</w:t>
      </w:r>
    </w:p>
    <w:p>
      <w:pPr>
        <w:snapToGrid w:val="0"/>
        <w:spacing w:line="500" w:lineRule="exact"/>
        <w:ind w:right="0" w:firstLine="548" w:firstLineChars="196"/>
        <w:rPr>
          <w:rFonts w:hint="eastAsia" w:ascii="仿宋" w:hAnsi="仿宋" w:eastAsia="仿宋" w:cs="仿宋"/>
          <w:b w:val="0"/>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val="0"/>
          <w:color w:val="auto"/>
          <w:sz w:val="28"/>
          <w:szCs w:val="28"/>
        </w:rPr>
        <w:t>.2由于可能存在的计算误差或其他原因，</w:t>
      </w:r>
      <w:r>
        <w:rPr>
          <w:rFonts w:hint="eastAsia" w:ascii="仿宋" w:hAnsi="仿宋" w:eastAsia="仿宋" w:cs="仿宋"/>
          <w:b w:val="0"/>
          <w:color w:val="auto"/>
          <w:sz w:val="28"/>
          <w:szCs w:val="28"/>
          <w:lang w:val="en-US" w:eastAsia="zh-CN"/>
        </w:rPr>
        <w:t>受让人</w:t>
      </w:r>
      <w:r>
        <w:rPr>
          <w:rFonts w:hint="eastAsia" w:ascii="仿宋" w:hAnsi="仿宋" w:eastAsia="仿宋" w:cs="仿宋"/>
          <w:b w:val="0"/>
          <w:color w:val="auto"/>
          <w:sz w:val="28"/>
          <w:szCs w:val="28"/>
        </w:rPr>
        <w:t>实际接收的贷款债权金额与附件一《</w:t>
      </w:r>
      <w:r>
        <w:rPr>
          <w:rFonts w:hint="eastAsia" w:ascii="仿宋" w:hAnsi="仿宋" w:eastAsia="仿宋" w:cs="仿宋"/>
          <w:b w:val="0"/>
          <w:color w:val="auto"/>
          <w:sz w:val="28"/>
          <w:szCs w:val="28"/>
          <w:lang w:val="en-US" w:eastAsia="zh-CN"/>
        </w:rPr>
        <w:t>拍卖债权</w:t>
      </w:r>
      <w:r>
        <w:rPr>
          <w:rFonts w:hint="eastAsia" w:ascii="仿宋" w:hAnsi="仿宋" w:eastAsia="仿宋" w:cs="仿宋"/>
          <w:b w:val="0"/>
          <w:color w:val="auto"/>
          <w:sz w:val="28"/>
          <w:szCs w:val="28"/>
        </w:rPr>
        <w:t>明细表》载明的金额可能不完全一致；基于有关司法政策文件，买受人受让贷款债权后向债务人或担保人所能主张并获得司法支持的利息可能与附件一《</w:t>
      </w:r>
      <w:r>
        <w:rPr>
          <w:rFonts w:hint="eastAsia" w:ascii="仿宋" w:hAnsi="仿宋" w:eastAsia="仿宋" w:cs="仿宋"/>
          <w:b w:val="0"/>
          <w:color w:val="auto"/>
          <w:sz w:val="28"/>
          <w:szCs w:val="28"/>
          <w:lang w:val="en-US" w:eastAsia="zh-CN"/>
        </w:rPr>
        <w:t>拍卖债权</w:t>
      </w:r>
      <w:r>
        <w:rPr>
          <w:rFonts w:hint="eastAsia" w:ascii="仿宋" w:hAnsi="仿宋" w:eastAsia="仿宋" w:cs="仿宋"/>
          <w:b w:val="0"/>
          <w:color w:val="auto"/>
          <w:sz w:val="28"/>
          <w:szCs w:val="28"/>
        </w:rPr>
        <w:t>明细表》中所列明的利息不完全一致；标的</w:t>
      </w:r>
      <w:r>
        <w:rPr>
          <w:rFonts w:hint="eastAsia" w:ascii="仿宋" w:hAnsi="仿宋" w:eastAsia="仿宋" w:cs="仿宋"/>
          <w:b w:val="0"/>
          <w:color w:val="auto"/>
          <w:sz w:val="28"/>
          <w:szCs w:val="28"/>
          <w:lang w:val="en-US" w:eastAsia="zh-CN"/>
        </w:rPr>
        <w:t>债权</w:t>
      </w:r>
      <w:r>
        <w:rPr>
          <w:rFonts w:hint="eastAsia" w:ascii="仿宋" w:hAnsi="仿宋" w:eastAsia="仿宋" w:cs="仿宋"/>
          <w:b w:val="0"/>
          <w:color w:val="auto"/>
          <w:sz w:val="28"/>
          <w:szCs w:val="28"/>
        </w:rPr>
        <w:t>事实上可能已经全部或部分灭失。</w:t>
      </w:r>
    </w:p>
    <w:p>
      <w:pPr>
        <w:snapToGrid w:val="0"/>
        <w:spacing w:line="500" w:lineRule="exact"/>
        <w:ind w:right="0" w:firstLine="548" w:firstLineChars="196"/>
        <w:rPr>
          <w:rFonts w:hint="eastAsia" w:ascii="仿宋" w:hAnsi="仿宋" w:eastAsia="仿宋" w:cs="仿宋"/>
          <w:b w:val="0"/>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val="0"/>
          <w:color w:val="auto"/>
          <w:sz w:val="28"/>
          <w:szCs w:val="28"/>
        </w:rPr>
        <w:t>.3 标的</w:t>
      </w:r>
      <w:r>
        <w:rPr>
          <w:rFonts w:hint="eastAsia" w:ascii="仿宋" w:hAnsi="仿宋" w:eastAsia="仿宋" w:cs="仿宋"/>
          <w:b w:val="0"/>
          <w:color w:val="auto"/>
          <w:sz w:val="28"/>
          <w:szCs w:val="28"/>
          <w:lang w:val="en-US" w:eastAsia="zh-CN"/>
        </w:rPr>
        <w:t>债权</w:t>
      </w:r>
      <w:r>
        <w:rPr>
          <w:rFonts w:hint="eastAsia" w:ascii="仿宋" w:hAnsi="仿宋" w:eastAsia="仿宋" w:cs="仿宋"/>
          <w:b w:val="0"/>
          <w:color w:val="auto"/>
          <w:sz w:val="28"/>
          <w:szCs w:val="28"/>
        </w:rPr>
        <w:t>项下债务人、担保人或其他责任主体可能存在破产、被吊销、被撤销、注销、解散、关闭、歇业、停业、下落不明以及其他主体存续性瑕疵的情形</w:t>
      </w:r>
      <w:r>
        <w:rPr>
          <w:rFonts w:hint="eastAsia" w:ascii="仿宋" w:hAnsi="仿宋" w:eastAsia="仿宋" w:cs="仿宋"/>
          <w:b w:val="0"/>
          <w:color w:val="auto"/>
          <w:sz w:val="28"/>
          <w:szCs w:val="28"/>
          <w:lang w:eastAsia="zh-CN"/>
        </w:rPr>
        <w:t>。</w:t>
      </w:r>
    </w:p>
    <w:p>
      <w:pPr>
        <w:snapToGrid w:val="0"/>
        <w:spacing w:line="500" w:lineRule="exact"/>
        <w:ind w:right="0" w:rightChars="0" w:firstLine="548" w:firstLineChars="196"/>
        <w:rPr>
          <w:rFonts w:hint="eastAsia" w:ascii="仿宋" w:hAnsi="仿宋" w:eastAsia="仿宋" w:cs="仿宋"/>
          <w:b w:val="0"/>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val="0"/>
          <w:color w:val="auto"/>
          <w:sz w:val="28"/>
          <w:szCs w:val="28"/>
        </w:rPr>
        <w:t>.4 标的</w:t>
      </w:r>
      <w:r>
        <w:rPr>
          <w:rFonts w:hint="eastAsia" w:ascii="仿宋" w:hAnsi="仿宋" w:eastAsia="仿宋" w:cs="仿宋"/>
          <w:b w:val="0"/>
          <w:color w:val="auto"/>
          <w:sz w:val="28"/>
          <w:szCs w:val="28"/>
          <w:lang w:val="en-US" w:eastAsia="zh-CN"/>
        </w:rPr>
        <w:t>债权</w:t>
      </w:r>
      <w:r>
        <w:rPr>
          <w:rFonts w:hint="eastAsia" w:ascii="仿宋" w:hAnsi="仿宋" w:eastAsia="仿宋" w:cs="仿宋"/>
          <w:b w:val="0"/>
          <w:color w:val="auto"/>
          <w:sz w:val="28"/>
          <w:szCs w:val="28"/>
        </w:rPr>
        <w:t>可能已超过诉讼时效、法定或约定时效或丧失其他相关的期间利益</w:t>
      </w:r>
      <w:r>
        <w:rPr>
          <w:rFonts w:hint="eastAsia" w:ascii="仿宋" w:hAnsi="仿宋" w:eastAsia="仿宋" w:cs="仿宋"/>
          <w:b w:val="0"/>
          <w:color w:val="auto"/>
          <w:sz w:val="28"/>
          <w:szCs w:val="28"/>
          <w:lang w:eastAsia="zh-CN"/>
        </w:rPr>
        <w:t>。</w:t>
      </w:r>
    </w:p>
    <w:p>
      <w:pPr>
        <w:snapToGrid w:val="0"/>
        <w:spacing w:line="500" w:lineRule="exact"/>
        <w:ind w:left="0" w:leftChars="0" w:right="0" w:rightChars="0" w:firstLine="548" w:firstLineChars="196"/>
        <w:rPr>
          <w:rFonts w:hint="eastAsia" w:ascii="仿宋" w:hAnsi="仿宋" w:eastAsia="仿宋" w:cs="仿宋"/>
          <w:b w:val="0"/>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val="0"/>
          <w:color w:val="auto"/>
          <w:sz w:val="28"/>
          <w:szCs w:val="28"/>
        </w:rPr>
        <w:t>.5 标的</w:t>
      </w:r>
      <w:r>
        <w:rPr>
          <w:rFonts w:hint="eastAsia" w:ascii="仿宋" w:hAnsi="仿宋" w:eastAsia="仿宋" w:cs="仿宋"/>
          <w:b w:val="0"/>
          <w:color w:val="auto"/>
          <w:sz w:val="28"/>
          <w:szCs w:val="28"/>
          <w:lang w:val="en-US" w:eastAsia="zh-CN"/>
        </w:rPr>
        <w:t>债权</w:t>
      </w:r>
      <w:r>
        <w:rPr>
          <w:rFonts w:hint="eastAsia" w:ascii="仿宋" w:hAnsi="仿宋" w:eastAsia="仿宋" w:cs="仿宋"/>
          <w:b w:val="0"/>
          <w:color w:val="auto"/>
          <w:sz w:val="28"/>
          <w:szCs w:val="28"/>
        </w:rPr>
        <w:t>项下担保权利可能未生效、无效、消灭或已过诉讼时效等情形</w:t>
      </w:r>
      <w:r>
        <w:rPr>
          <w:rFonts w:hint="eastAsia" w:ascii="仿宋" w:hAnsi="仿宋" w:eastAsia="仿宋" w:cs="仿宋"/>
          <w:b w:val="0"/>
          <w:color w:val="auto"/>
          <w:sz w:val="28"/>
          <w:szCs w:val="28"/>
          <w:lang w:eastAsia="zh-CN"/>
        </w:rPr>
        <w:t>。</w:t>
      </w:r>
    </w:p>
    <w:p>
      <w:pPr>
        <w:snapToGrid w:val="0"/>
        <w:spacing w:line="500" w:lineRule="exact"/>
        <w:ind w:left="0" w:leftChars="0" w:right="0" w:rightChars="0" w:firstLine="548" w:firstLineChars="196"/>
        <w:rPr>
          <w:rFonts w:hint="eastAsia" w:ascii="仿宋" w:hAnsi="仿宋" w:eastAsia="仿宋" w:cs="仿宋"/>
          <w:b w:val="0"/>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val="0"/>
          <w:color w:val="auto"/>
          <w:sz w:val="28"/>
          <w:szCs w:val="28"/>
        </w:rPr>
        <w:t>.6 担保物、抵债资产（含协议抵债且未办理过户）可能发生灭失、毁损或可能存在欠缴税费、不能办理权属变更手续、不能实际占有或其他减损担保物、抵债资产价值的相关情形</w:t>
      </w:r>
      <w:r>
        <w:rPr>
          <w:rFonts w:hint="eastAsia" w:ascii="仿宋" w:hAnsi="仿宋" w:eastAsia="仿宋" w:cs="仿宋"/>
          <w:b w:val="0"/>
          <w:color w:val="auto"/>
          <w:sz w:val="28"/>
          <w:szCs w:val="28"/>
          <w:lang w:eastAsia="zh-CN"/>
        </w:rPr>
        <w:t>。</w:t>
      </w:r>
      <w:r>
        <w:rPr>
          <w:rFonts w:hint="eastAsia" w:ascii="仿宋" w:hAnsi="仿宋" w:eastAsia="仿宋" w:cs="仿宋"/>
          <w:b w:val="0"/>
          <w:color w:val="auto"/>
          <w:sz w:val="28"/>
          <w:szCs w:val="28"/>
        </w:rPr>
        <w:t xml:space="preserve"> </w:t>
      </w:r>
    </w:p>
    <w:p>
      <w:pPr>
        <w:snapToGrid w:val="0"/>
        <w:spacing w:line="500" w:lineRule="exact"/>
        <w:ind w:right="0" w:rightChars="0" w:firstLine="548" w:firstLineChars="196"/>
        <w:rPr>
          <w:rFonts w:hint="eastAsia" w:ascii="仿宋" w:hAnsi="仿宋" w:eastAsia="仿宋" w:cs="仿宋"/>
          <w:b w:val="0"/>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val="0"/>
          <w:color w:val="auto"/>
          <w:sz w:val="28"/>
          <w:szCs w:val="28"/>
        </w:rPr>
        <w:t>.7涉诉标的</w:t>
      </w:r>
      <w:r>
        <w:rPr>
          <w:rFonts w:hint="eastAsia" w:ascii="仿宋" w:hAnsi="仿宋" w:eastAsia="仿宋" w:cs="仿宋"/>
          <w:b w:val="0"/>
          <w:color w:val="auto"/>
          <w:sz w:val="28"/>
          <w:szCs w:val="28"/>
          <w:lang w:val="en-US" w:eastAsia="zh-CN"/>
        </w:rPr>
        <w:t>债权</w:t>
      </w:r>
      <w:r>
        <w:rPr>
          <w:rFonts w:hint="eastAsia" w:ascii="仿宋" w:hAnsi="仿宋" w:eastAsia="仿宋" w:cs="仿宋"/>
          <w:b w:val="0"/>
          <w:color w:val="auto"/>
          <w:sz w:val="28"/>
          <w:szCs w:val="28"/>
        </w:rPr>
        <w:t>可能存在全部或部分败诉、不能变更诉讼（含执行）主体、相关诉讼、执行费用未付等情形，涉诉标的</w:t>
      </w:r>
      <w:r>
        <w:rPr>
          <w:rFonts w:hint="eastAsia" w:ascii="仿宋" w:hAnsi="仿宋" w:eastAsia="仿宋" w:cs="仿宋"/>
          <w:b w:val="0"/>
          <w:color w:val="auto"/>
          <w:sz w:val="28"/>
          <w:szCs w:val="28"/>
          <w:lang w:val="en-US" w:eastAsia="zh-CN"/>
        </w:rPr>
        <w:t>债权</w:t>
      </w:r>
      <w:r>
        <w:rPr>
          <w:rFonts w:hint="eastAsia" w:ascii="仿宋" w:hAnsi="仿宋" w:eastAsia="仿宋" w:cs="仿宋"/>
          <w:b w:val="0"/>
          <w:color w:val="auto"/>
          <w:sz w:val="28"/>
          <w:szCs w:val="28"/>
        </w:rPr>
        <w:t>可能在交割前已诉讼终结、执行终结或破产终结。</w:t>
      </w:r>
    </w:p>
    <w:p>
      <w:pPr>
        <w:snapToGrid w:val="0"/>
        <w:spacing w:line="500" w:lineRule="exact"/>
        <w:ind w:right="0" w:firstLine="548" w:firstLineChars="196"/>
        <w:rPr>
          <w:rFonts w:hint="eastAsia" w:ascii="仿宋" w:hAnsi="仿宋" w:eastAsia="仿宋" w:cs="仿宋"/>
          <w:b w:val="0"/>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val="0"/>
          <w:color w:val="auto"/>
          <w:sz w:val="28"/>
          <w:szCs w:val="28"/>
        </w:rPr>
        <w:t>.8</w:t>
      </w:r>
      <w:r>
        <w:rPr>
          <w:rFonts w:hint="eastAsia" w:ascii="仿宋" w:hAnsi="仿宋" w:eastAsia="仿宋" w:cs="仿宋"/>
          <w:b w:val="0"/>
          <w:color w:val="auto"/>
          <w:sz w:val="28"/>
          <w:szCs w:val="28"/>
          <w:lang w:eastAsia="zh-CN"/>
        </w:rPr>
        <w:t>买受人</w:t>
      </w:r>
      <w:r>
        <w:rPr>
          <w:rFonts w:hint="eastAsia" w:ascii="仿宋" w:hAnsi="仿宋" w:eastAsia="仿宋" w:cs="仿宋"/>
          <w:b w:val="0"/>
          <w:color w:val="auto"/>
          <w:sz w:val="28"/>
          <w:szCs w:val="28"/>
        </w:rPr>
        <w:t>受让标的</w:t>
      </w:r>
      <w:r>
        <w:rPr>
          <w:rFonts w:hint="eastAsia" w:ascii="仿宋" w:hAnsi="仿宋" w:eastAsia="仿宋" w:cs="仿宋"/>
          <w:b w:val="0"/>
          <w:color w:val="auto"/>
          <w:sz w:val="28"/>
          <w:szCs w:val="28"/>
          <w:lang w:val="en-US" w:eastAsia="zh-CN"/>
        </w:rPr>
        <w:t>债权</w:t>
      </w:r>
      <w:r>
        <w:rPr>
          <w:rFonts w:hint="eastAsia" w:ascii="仿宋" w:hAnsi="仿宋" w:eastAsia="仿宋" w:cs="仿宋"/>
          <w:b w:val="0"/>
          <w:color w:val="auto"/>
          <w:sz w:val="28"/>
          <w:szCs w:val="28"/>
        </w:rPr>
        <w:t>后，可能无法享有</w:t>
      </w:r>
      <w:r>
        <w:rPr>
          <w:rFonts w:hint="eastAsia" w:ascii="仿宋" w:hAnsi="仿宋" w:eastAsia="仿宋" w:cs="仿宋"/>
          <w:b w:val="0"/>
          <w:color w:val="auto"/>
          <w:sz w:val="28"/>
          <w:szCs w:val="28"/>
          <w:lang w:eastAsia="zh-CN"/>
        </w:rPr>
        <w:t>委托方</w:t>
      </w:r>
      <w:r>
        <w:rPr>
          <w:rFonts w:hint="eastAsia" w:ascii="仿宋" w:hAnsi="仿宋" w:eastAsia="仿宋" w:cs="仿宋"/>
          <w:b w:val="0"/>
          <w:color w:val="auto"/>
          <w:sz w:val="28"/>
          <w:szCs w:val="28"/>
        </w:rPr>
        <w:t>所享有的国家法律政策规定的各项优惠条件和特殊保护，包括但不限于对该标的资产在交割日后的利息或罚息请求权可能无法继续享有。</w:t>
      </w:r>
    </w:p>
    <w:p>
      <w:pPr>
        <w:snapToGrid w:val="0"/>
        <w:spacing w:line="500" w:lineRule="exact"/>
        <w:ind w:firstLine="548" w:firstLineChars="196"/>
        <w:rPr>
          <w:rFonts w:hint="eastAsia" w:ascii="仿宋" w:hAnsi="仿宋" w:eastAsia="仿宋" w:cs="仿宋"/>
          <w:b w:val="0"/>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val="0"/>
          <w:color w:val="auto"/>
          <w:sz w:val="28"/>
          <w:szCs w:val="28"/>
        </w:rPr>
        <w:t>.9</w:t>
      </w:r>
      <w:r>
        <w:rPr>
          <w:rFonts w:hint="eastAsia" w:ascii="仿宋" w:hAnsi="仿宋" w:eastAsia="仿宋" w:cs="仿宋"/>
          <w:b w:val="0"/>
          <w:color w:val="auto"/>
          <w:sz w:val="28"/>
          <w:szCs w:val="28"/>
          <w:lang w:eastAsia="zh-CN"/>
        </w:rPr>
        <w:t>委托方</w:t>
      </w:r>
      <w:r>
        <w:rPr>
          <w:rFonts w:hint="eastAsia" w:ascii="仿宋" w:hAnsi="仿宋" w:eastAsia="仿宋" w:cs="仿宋"/>
          <w:b w:val="0"/>
          <w:color w:val="auto"/>
          <w:sz w:val="28"/>
          <w:szCs w:val="28"/>
        </w:rPr>
        <w:t>无法对其承继的、由任何第三方制作的资产证明文件的真实性、有效性、准确性和完整性提供保证。</w:t>
      </w:r>
      <w:r>
        <w:rPr>
          <w:rFonts w:hint="eastAsia" w:ascii="仿宋" w:hAnsi="仿宋" w:eastAsia="仿宋" w:cs="仿宋"/>
          <w:b w:val="0"/>
          <w:color w:val="auto"/>
          <w:sz w:val="28"/>
          <w:szCs w:val="28"/>
          <w:lang w:eastAsia="zh-CN"/>
        </w:rPr>
        <w:t>委托方</w:t>
      </w:r>
      <w:r>
        <w:rPr>
          <w:rFonts w:hint="eastAsia" w:ascii="仿宋" w:hAnsi="仿宋" w:eastAsia="仿宋" w:cs="仿宋"/>
          <w:b w:val="0"/>
          <w:color w:val="auto"/>
          <w:sz w:val="28"/>
          <w:szCs w:val="28"/>
        </w:rPr>
        <w:t>移交的标的资产证明文件可能存在缺失（不限于原件）、内容冲突等相关情形。</w:t>
      </w:r>
    </w:p>
    <w:p>
      <w:pPr>
        <w:snapToGrid w:val="0"/>
        <w:spacing w:line="500" w:lineRule="exact"/>
        <w:ind w:firstLine="548" w:firstLineChars="196"/>
        <w:rPr>
          <w:ins w:id="0" w:author="hongl" w:date="2021-05-24T11:54:08Z"/>
          <w:rFonts w:hint="eastAsia" w:ascii="仿宋" w:hAnsi="仿宋" w:eastAsia="仿宋" w:cs="仿宋"/>
          <w:b w:val="0"/>
          <w:color w:val="auto"/>
          <w:sz w:val="28"/>
          <w:szCs w:val="28"/>
        </w:rPr>
      </w:pPr>
      <w:ins w:id="1" w:author="hongl" w:date="2021-05-24T11:54:08Z">
        <w:r>
          <w:rPr>
            <w:rFonts w:hint="eastAsia" w:ascii="仿宋" w:hAnsi="仿宋" w:eastAsia="仿宋" w:cs="仿宋"/>
            <w:b w:val="0"/>
            <w:color w:val="auto"/>
            <w:sz w:val="28"/>
            <w:szCs w:val="28"/>
            <w:lang w:val="en-US" w:eastAsia="zh-CN"/>
          </w:rPr>
          <w:t>1</w:t>
        </w:r>
      </w:ins>
      <w:ins w:id="2" w:author="hongl" w:date="2021-05-24T11:54:08Z">
        <w:r>
          <w:rPr>
            <w:rFonts w:hint="eastAsia" w:ascii="仿宋" w:hAnsi="仿宋" w:eastAsia="仿宋" w:cs="仿宋"/>
            <w:b w:val="0"/>
            <w:color w:val="auto"/>
            <w:sz w:val="28"/>
            <w:szCs w:val="28"/>
          </w:rPr>
          <w:t>.10尽管</w:t>
        </w:r>
      </w:ins>
      <w:ins w:id="3" w:author="hongl" w:date="2021-05-24T11:54:08Z">
        <w:r>
          <w:rPr>
            <w:rFonts w:hint="eastAsia" w:ascii="仿宋" w:hAnsi="仿宋" w:eastAsia="仿宋" w:cs="仿宋"/>
            <w:b w:val="0"/>
            <w:color w:val="auto"/>
            <w:sz w:val="28"/>
            <w:szCs w:val="28"/>
            <w:lang w:eastAsia="zh-CN"/>
          </w:rPr>
          <w:t>委托方</w:t>
        </w:r>
      </w:ins>
      <w:ins w:id="4" w:author="hongl" w:date="2021-05-24T11:54:08Z">
        <w:r>
          <w:rPr>
            <w:rFonts w:hint="eastAsia" w:ascii="仿宋" w:hAnsi="仿宋" w:eastAsia="仿宋" w:cs="仿宋"/>
            <w:b w:val="0"/>
            <w:color w:val="auto"/>
            <w:sz w:val="28"/>
            <w:szCs w:val="28"/>
          </w:rPr>
          <w:t>已对拟转让债权瑕疵作出上述披露，但该债权仍然存在包括但不限于如下瑕疵，</w:t>
        </w:r>
      </w:ins>
      <w:ins w:id="5" w:author="hongl" w:date="2021-05-24T11:54:08Z">
        <w:r>
          <w:rPr>
            <w:rFonts w:hint="eastAsia" w:ascii="仿宋" w:hAnsi="仿宋" w:eastAsia="仿宋" w:cs="仿宋"/>
            <w:sz w:val="28"/>
            <w:szCs w:val="28"/>
          </w:rPr>
          <w:t>竞买人</w:t>
        </w:r>
      </w:ins>
      <w:ins w:id="6" w:author="hongl" w:date="2021-05-24T11:54:08Z">
        <w:r>
          <w:rPr>
            <w:rFonts w:hint="eastAsia" w:ascii="仿宋" w:hAnsi="仿宋" w:eastAsia="仿宋" w:cs="仿宋"/>
            <w:b w:val="0"/>
            <w:color w:val="auto"/>
            <w:sz w:val="28"/>
            <w:szCs w:val="28"/>
          </w:rPr>
          <w:t>受让贷款债权前，已充分了解</w:t>
        </w:r>
      </w:ins>
      <w:ins w:id="7" w:author="hongl" w:date="2021-05-24T11:54:08Z">
        <w:r>
          <w:rPr>
            <w:rFonts w:hint="eastAsia" w:ascii="仿宋" w:hAnsi="仿宋" w:eastAsia="仿宋" w:cs="仿宋"/>
            <w:b w:val="0"/>
            <w:color w:val="auto"/>
            <w:sz w:val="28"/>
            <w:szCs w:val="28"/>
            <w:lang w:val="en-US" w:eastAsia="zh-CN"/>
          </w:rPr>
          <w:t>委托方</w:t>
        </w:r>
      </w:ins>
      <w:ins w:id="8" w:author="hongl" w:date="2021-05-24T11:54:08Z">
        <w:r>
          <w:rPr>
            <w:rFonts w:hint="eastAsia" w:ascii="仿宋" w:hAnsi="仿宋" w:eastAsia="仿宋" w:cs="仿宋"/>
            <w:b w:val="0"/>
            <w:color w:val="auto"/>
            <w:sz w:val="28"/>
            <w:szCs w:val="28"/>
          </w:rPr>
          <w:t>告知的下列事实：</w:t>
        </w:r>
      </w:ins>
    </w:p>
    <w:p>
      <w:pPr>
        <w:snapToGrid w:val="0"/>
        <w:spacing w:line="500" w:lineRule="exact"/>
        <w:ind w:firstLine="548" w:firstLineChars="196"/>
        <w:rPr>
          <w:ins w:id="9" w:author="hongl" w:date="2021-05-24T11:54:08Z"/>
          <w:rFonts w:hint="eastAsia" w:ascii="仿宋" w:hAnsi="仿宋" w:eastAsia="仿宋" w:cs="仿宋"/>
          <w:b w:val="0"/>
          <w:color w:val="auto"/>
          <w:sz w:val="28"/>
          <w:szCs w:val="28"/>
        </w:rPr>
      </w:pPr>
      <w:ins w:id="10" w:author="hongl" w:date="2021-05-24T11:54:08Z">
        <w:r>
          <w:rPr>
            <w:rFonts w:hint="eastAsia" w:ascii="仿宋" w:hAnsi="仿宋" w:eastAsia="仿宋" w:cs="仿宋"/>
            <w:b w:val="0"/>
            <w:color w:val="auto"/>
            <w:sz w:val="28"/>
            <w:szCs w:val="28"/>
            <w:lang w:eastAsia="zh-CN"/>
          </w:rPr>
          <w:t>（</w:t>
        </w:r>
      </w:ins>
      <w:ins w:id="11" w:author="hongl" w:date="2021-05-24T11:54:08Z">
        <w:r>
          <w:rPr>
            <w:rFonts w:hint="eastAsia" w:ascii="仿宋" w:hAnsi="仿宋" w:eastAsia="仿宋" w:cs="仿宋"/>
            <w:b w:val="0"/>
            <w:color w:val="auto"/>
            <w:sz w:val="28"/>
            <w:szCs w:val="28"/>
            <w:lang w:val="en-US" w:eastAsia="zh-CN"/>
          </w:rPr>
          <w:t>1</w:t>
        </w:r>
      </w:ins>
      <w:ins w:id="12" w:author="hongl" w:date="2021-05-24T11:54:08Z">
        <w:r>
          <w:rPr>
            <w:rFonts w:hint="eastAsia" w:ascii="仿宋" w:hAnsi="仿宋" w:eastAsia="仿宋" w:cs="仿宋"/>
            <w:b w:val="0"/>
            <w:color w:val="auto"/>
            <w:sz w:val="28"/>
            <w:szCs w:val="28"/>
            <w:lang w:eastAsia="zh-CN"/>
          </w:rPr>
          <w:t>）</w:t>
        </w:r>
      </w:ins>
      <w:ins w:id="13" w:author="hongl" w:date="2021-05-24T11:54:08Z">
        <w:r>
          <w:rPr>
            <w:rFonts w:hint="eastAsia" w:ascii="仿宋" w:hAnsi="仿宋" w:eastAsia="仿宋" w:cs="仿宋"/>
            <w:b w:val="0"/>
            <w:color w:val="auto"/>
            <w:sz w:val="28"/>
            <w:szCs w:val="28"/>
          </w:rPr>
          <w:t>该户债权主债务人已被法院裁定破产清算，原抵押物已拍卖处置，破产受偿款已受偿，且已冲减债权本金。</w:t>
        </w:r>
      </w:ins>
    </w:p>
    <w:p>
      <w:pPr>
        <w:snapToGrid w:val="0"/>
        <w:spacing w:line="500" w:lineRule="exact"/>
        <w:ind w:firstLine="548" w:firstLineChars="196"/>
        <w:rPr>
          <w:ins w:id="14" w:author="hongl" w:date="2021-05-24T11:54:08Z"/>
          <w:rFonts w:hint="eastAsia" w:ascii="仿宋" w:hAnsi="仿宋" w:eastAsia="仿宋" w:cs="仿宋"/>
          <w:b w:val="0"/>
          <w:color w:val="auto"/>
          <w:sz w:val="28"/>
          <w:szCs w:val="28"/>
          <w:lang w:val="en-US" w:eastAsia="zh-CN"/>
        </w:rPr>
      </w:pPr>
      <w:ins w:id="15" w:author="hongl" w:date="2021-05-24T11:54:08Z">
        <w:r>
          <w:rPr>
            <w:rFonts w:hint="eastAsia" w:ascii="仿宋" w:hAnsi="仿宋" w:eastAsia="仿宋" w:cs="仿宋"/>
            <w:b w:val="0"/>
            <w:color w:val="auto"/>
            <w:sz w:val="28"/>
            <w:szCs w:val="28"/>
            <w:lang w:val="en-US" w:eastAsia="zh-CN"/>
          </w:rPr>
          <w:t>（2）</w:t>
        </w:r>
      </w:ins>
      <w:ins w:id="16" w:author="hongl" w:date="2021-05-24T11:54:08Z">
        <w:r>
          <w:rPr>
            <w:rFonts w:hint="eastAsia" w:ascii="仿宋" w:hAnsi="仿宋" w:eastAsia="仿宋" w:cs="仿宋"/>
            <w:b w:val="0"/>
            <w:color w:val="auto"/>
            <w:sz w:val="28"/>
            <w:szCs w:val="28"/>
          </w:rPr>
          <w:t>该户债权</w:t>
        </w:r>
      </w:ins>
      <w:ins w:id="17" w:author="hongl" w:date="2021-05-24T11:54:08Z">
        <w:r>
          <w:rPr>
            <w:rFonts w:hint="eastAsia" w:ascii="仿宋" w:hAnsi="仿宋" w:eastAsia="仿宋" w:cs="仿宋"/>
            <w:b w:val="0"/>
            <w:color w:val="auto"/>
            <w:sz w:val="28"/>
            <w:szCs w:val="28"/>
            <w:lang w:val="en-US" w:eastAsia="zh-CN"/>
          </w:rPr>
          <w:t>未对借款人及保证人进行诉讼，</w:t>
        </w:r>
      </w:ins>
      <w:ins w:id="18" w:author="hongl" w:date="2021-05-24T11:54:08Z">
        <w:r>
          <w:rPr>
            <w:rFonts w:hint="eastAsia" w:ascii="仿宋" w:hAnsi="仿宋" w:eastAsia="仿宋" w:cs="仿宋"/>
            <w:b w:val="0"/>
            <w:color w:val="auto"/>
            <w:sz w:val="28"/>
            <w:szCs w:val="28"/>
          </w:rPr>
          <w:t>2017年12月26日，</w:t>
        </w:r>
      </w:ins>
      <w:ins w:id="19" w:author="hongl" w:date="2021-05-24T11:54:08Z">
        <w:r>
          <w:rPr>
            <w:rFonts w:hint="eastAsia" w:ascii="仿宋" w:hAnsi="仿宋" w:eastAsia="仿宋" w:cs="仿宋"/>
            <w:b w:val="0"/>
            <w:color w:val="auto"/>
            <w:sz w:val="28"/>
            <w:szCs w:val="28"/>
            <w:lang w:eastAsia="zh-CN"/>
          </w:rPr>
          <w:t>委托方</w:t>
        </w:r>
      </w:ins>
      <w:ins w:id="20" w:author="hongl" w:date="2021-05-24T11:54:08Z">
        <w:r>
          <w:rPr>
            <w:rFonts w:hint="eastAsia" w:ascii="仿宋" w:hAnsi="仿宋" w:eastAsia="仿宋" w:cs="仿宋"/>
            <w:b w:val="0"/>
            <w:color w:val="auto"/>
            <w:sz w:val="28"/>
            <w:szCs w:val="28"/>
          </w:rPr>
          <w:t>与浦发银行在法制报社发布联合转让暨催收公告，2019年11月5日，</w:t>
        </w:r>
      </w:ins>
      <w:ins w:id="21" w:author="hongl" w:date="2021-05-24T11:54:08Z">
        <w:r>
          <w:rPr>
            <w:rFonts w:hint="eastAsia" w:ascii="仿宋" w:hAnsi="仿宋" w:eastAsia="仿宋" w:cs="仿宋"/>
            <w:b w:val="0"/>
            <w:color w:val="auto"/>
            <w:sz w:val="28"/>
            <w:szCs w:val="28"/>
            <w:lang w:eastAsia="zh-CN"/>
          </w:rPr>
          <w:t>委托方</w:t>
        </w:r>
      </w:ins>
      <w:ins w:id="22" w:author="hongl" w:date="2021-05-24T11:54:08Z">
        <w:r>
          <w:rPr>
            <w:rFonts w:hint="eastAsia" w:ascii="仿宋" w:hAnsi="仿宋" w:eastAsia="仿宋" w:cs="仿宋"/>
            <w:b w:val="0"/>
            <w:color w:val="auto"/>
            <w:sz w:val="28"/>
            <w:szCs w:val="28"/>
          </w:rPr>
          <w:t>在山东法制报刊登催收公告，对借款人及保证人进行催收，所涉保证人可能存在脱保风险。</w:t>
        </w:r>
      </w:ins>
    </w:p>
    <w:p>
      <w:pPr>
        <w:snapToGrid w:val="0"/>
        <w:spacing w:line="500" w:lineRule="exact"/>
        <w:ind w:firstLine="548" w:firstLineChars="196"/>
        <w:rPr>
          <w:del w:id="23" w:author="hongl" w:date="2021-05-24T11:54:08Z"/>
          <w:rFonts w:hint="eastAsia" w:ascii="仿宋" w:hAnsi="仿宋" w:eastAsia="仿宋" w:cs="仿宋"/>
          <w:b w:val="0"/>
          <w:color w:val="auto"/>
          <w:sz w:val="28"/>
          <w:szCs w:val="28"/>
        </w:rPr>
      </w:pPr>
      <w:del w:id="24" w:author="hongl" w:date="2021-05-24T11:54:08Z">
        <w:r>
          <w:rPr>
            <w:rFonts w:hint="eastAsia" w:ascii="仿宋" w:hAnsi="仿宋" w:eastAsia="仿宋" w:cs="仿宋"/>
            <w:b w:val="0"/>
            <w:color w:val="auto"/>
            <w:sz w:val="28"/>
            <w:szCs w:val="28"/>
            <w:lang w:val="en-US" w:eastAsia="zh-CN"/>
          </w:rPr>
          <w:delText>1</w:delText>
        </w:r>
      </w:del>
      <w:del w:id="25" w:author="hongl" w:date="2021-05-24T11:54:08Z">
        <w:r>
          <w:rPr>
            <w:rFonts w:hint="eastAsia" w:ascii="仿宋" w:hAnsi="仿宋" w:eastAsia="仿宋" w:cs="仿宋"/>
            <w:b w:val="0"/>
            <w:color w:val="auto"/>
            <w:sz w:val="28"/>
            <w:szCs w:val="28"/>
          </w:rPr>
          <w:delText>.10尽管</w:delText>
        </w:r>
      </w:del>
      <w:del w:id="26" w:author="hongl" w:date="2021-05-24T11:54:08Z">
        <w:r>
          <w:rPr>
            <w:rFonts w:hint="eastAsia" w:ascii="仿宋" w:hAnsi="仿宋" w:eastAsia="仿宋" w:cs="仿宋"/>
            <w:b w:val="0"/>
            <w:color w:val="auto"/>
            <w:sz w:val="28"/>
            <w:szCs w:val="28"/>
            <w:lang w:eastAsia="zh-CN"/>
          </w:rPr>
          <w:delText>委托方</w:delText>
        </w:r>
      </w:del>
      <w:del w:id="27" w:author="hongl" w:date="2021-05-24T11:54:08Z">
        <w:r>
          <w:rPr>
            <w:rFonts w:hint="eastAsia" w:ascii="仿宋" w:hAnsi="仿宋" w:eastAsia="仿宋" w:cs="仿宋"/>
            <w:b w:val="0"/>
            <w:color w:val="auto"/>
            <w:sz w:val="28"/>
            <w:szCs w:val="28"/>
          </w:rPr>
          <w:delText>已对拟转让债权瑕疵作出上述披露，但该债权仍然存在包括但不限于如下瑕疵，乙方受让贷款债权前，已充分了解甲方告知的下列事实：</w:delText>
        </w:r>
      </w:del>
    </w:p>
    <w:p>
      <w:pPr>
        <w:snapToGrid w:val="0"/>
        <w:spacing w:line="500" w:lineRule="exact"/>
        <w:ind w:firstLine="548" w:firstLineChars="196"/>
        <w:rPr>
          <w:del w:id="28" w:author="hongl" w:date="2021-05-24T11:54:08Z"/>
          <w:rFonts w:hint="eastAsia" w:ascii="仿宋" w:hAnsi="仿宋" w:eastAsia="仿宋" w:cs="仿宋"/>
          <w:b w:val="0"/>
          <w:color w:val="auto"/>
          <w:sz w:val="28"/>
          <w:szCs w:val="28"/>
        </w:rPr>
      </w:pPr>
      <w:del w:id="29" w:author="hongl" w:date="2021-05-24T11:54:08Z">
        <w:r>
          <w:rPr>
            <w:rFonts w:hint="eastAsia" w:ascii="仿宋" w:hAnsi="仿宋" w:eastAsia="仿宋" w:cs="仿宋"/>
            <w:b w:val="0"/>
            <w:color w:val="auto"/>
            <w:sz w:val="28"/>
            <w:szCs w:val="28"/>
            <w:lang w:eastAsia="zh-CN"/>
          </w:rPr>
          <w:delText>（</w:delText>
        </w:r>
      </w:del>
      <w:del w:id="30" w:author="hongl" w:date="2021-05-24T11:54:08Z">
        <w:r>
          <w:rPr>
            <w:rFonts w:hint="eastAsia" w:ascii="仿宋" w:hAnsi="仿宋" w:eastAsia="仿宋" w:cs="仿宋"/>
            <w:b w:val="0"/>
            <w:color w:val="auto"/>
            <w:sz w:val="28"/>
            <w:szCs w:val="28"/>
            <w:lang w:val="en-US" w:eastAsia="zh-CN"/>
          </w:rPr>
          <w:delText>1</w:delText>
        </w:r>
      </w:del>
      <w:del w:id="31" w:author="hongl" w:date="2021-05-24T11:54:08Z">
        <w:r>
          <w:rPr>
            <w:rFonts w:hint="eastAsia" w:ascii="仿宋" w:hAnsi="仿宋" w:eastAsia="仿宋" w:cs="仿宋"/>
            <w:b w:val="0"/>
            <w:color w:val="auto"/>
            <w:sz w:val="28"/>
            <w:szCs w:val="28"/>
            <w:lang w:eastAsia="zh-CN"/>
          </w:rPr>
          <w:delText>）</w:delText>
        </w:r>
      </w:del>
      <w:del w:id="32" w:author="hongl" w:date="2021-05-24T11:54:08Z">
        <w:r>
          <w:rPr>
            <w:rFonts w:hint="eastAsia" w:ascii="仿宋" w:hAnsi="仿宋" w:eastAsia="仿宋" w:cs="仿宋"/>
            <w:b w:val="0"/>
            <w:color w:val="auto"/>
            <w:sz w:val="28"/>
            <w:szCs w:val="28"/>
          </w:rPr>
          <w:delText>该户债权主债务人已被法院裁定破产清算，原抵押物已拍卖处置，破产受偿款已受偿，且已冲减债权本金。</w:delText>
        </w:r>
      </w:del>
    </w:p>
    <w:p>
      <w:pPr>
        <w:snapToGrid w:val="0"/>
        <w:spacing w:line="500" w:lineRule="exact"/>
        <w:ind w:firstLine="548" w:firstLineChars="196"/>
        <w:rPr>
          <w:del w:id="33" w:author="hongl" w:date="2021-05-24T11:54:08Z"/>
          <w:rFonts w:hint="eastAsia" w:ascii="仿宋" w:hAnsi="仿宋" w:eastAsia="仿宋" w:cs="仿宋"/>
          <w:b w:val="0"/>
          <w:color w:val="auto"/>
          <w:sz w:val="28"/>
          <w:szCs w:val="28"/>
          <w:lang w:val="en-US" w:eastAsia="zh-CN"/>
        </w:rPr>
      </w:pPr>
      <w:del w:id="34" w:author="hongl" w:date="2021-05-24T11:54:08Z">
        <w:r>
          <w:rPr>
            <w:rFonts w:hint="eastAsia" w:ascii="仿宋" w:hAnsi="仿宋" w:eastAsia="仿宋" w:cs="仿宋"/>
            <w:b w:val="0"/>
            <w:color w:val="auto"/>
            <w:sz w:val="28"/>
            <w:szCs w:val="28"/>
            <w:lang w:val="en-US" w:eastAsia="zh-CN"/>
          </w:rPr>
          <w:delText>（2）</w:delText>
        </w:r>
      </w:del>
      <w:del w:id="35" w:author="hongl" w:date="2021-05-24T11:54:08Z">
        <w:r>
          <w:rPr>
            <w:rFonts w:hint="eastAsia" w:ascii="仿宋" w:hAnsi="仿宋" w:eastAsia="仿宋" w:cs="仿宋"/>
            <w:b w:val="0"/>
            <w:color w:val="auto"/>
            <w:sz w:val="28"/>
            <w:szCs w:val="28"/>
          </w:rPr>
          <w:delText>该户债权</w:delText>
        </w:r>
      </w:del>
      <w:del w:id="36" w:author="hongl" w:date="2021-05-24T11:54:08Z">
        <w:r>
          <w:rPr>
            <w:rFonts w:hint="eastAsia" w:ascii="仿宋" w:hAnsi="仿宋" w:eastAsia="仿宋" w:cs="仿宋"/>
            <w:b w:val="0"/>
            <w:color w:val="auto"/>
            <w:sz w:val="28"/>
            <w:szCs w:val="28"/>
            <w:lang w:val="en-US" w:eastAsia="zh-CN"/>
          </w:rPr>
          <w:delText>未对借款人及保证人进行诉讼，</w:delText>
        </w:r>
      </w:del>
      <w:del w:id="37" w:author="hongl" w:date="2021-05-24T11:54:08Z">
        <w:r>
          <w:rPr>
            <w:rFonts w:hint="eastAsia" w:ascii="仿宋" w:hAnsi="仿宋" w:eastAsia="仿宋" w:cs="仿宋"/>
            <w:b w:val="0"/>
            <w:color w:val="auto"/>
            <w:sz w:val="28"/>
            <w:szCs w:val="28"/>
          </w:rPr>
          <w:delText>2017年12月26日，</w:delText>
        </w:r>
      </w:del>
      <w:del w:id="38" w:author="hongl" w:date="2021-05-24T11:54:08Z">
        <w:r>
          <w:rPr>
            <w:rFonts w:hint="eastAsia" w:ascii="仿宋" w:hAnsi="仿宋" w:eastAsia="仿宋" w:cs="仿宋"/>
            <w:b w:val="0"/>
            <w:color w:val="auto"/>
            <w:sz w:val="28"/>
            <w:szCs w:val="28"/>
            <w:lang w:eastAsia="zh-CN"/>
          </w:rPr>
          <w:delText>委托方</w:delText>
        </w:r>
      </w:del>
      <w:del w:id="39" w:author="hongl" w:date="2021-05-24T11:54:08Z">
        <w:r>
          <w:rPr>
            <w:rFonts w:hint="eastAsia" w:ascii="仿宋" w:hAnsi="仿宋" w:eastAsia="仿宋" w:cs="仿宋"/>
            <w:b w:val="0"/>
            <w:color w:val="auto"/>
            <w:sz w:val="28"/>
            <w:szCs w:val="28"/>
          </w:rPr>
          <w:delText>与浦发银行在法制报社发布联合转让暨催收公告，2019年11月5日，</w:delText>
        </w:r>
      </w:del>
      <w:del w:id="40" w:author="hongl" w:date="2021-05-24T11:54:08Z">
        <w:r>
          <w:rPr>
            <w:rFonts w:hint="eastAsia" w:ascii="仿宋" w:hAnsi="仿宋" w:eastAsia="仿宋" w:cs="仿宋"/>
            <w:b w:val="0"/>
            <w:color w:val="auto"/>
            <w:sz w:val="28"/>
            <w:szCs w:val="28"/>
            <w:lang w:eastAsia="zh-CN"/>
          </w:rPr>
          <w:delText>委托方</w:delText>
        </w:r>
      </w:del>
      <w:del w:id="41" w:author="hongl" w:date="2021-05-24T11:54:08Z">
        <w:r>
          <w:rPr>
            <w:rFonts w:hint="eastAsia" w:ascii="仿宋" w:hAnsi="仿宋" w:eastAsia="仿宋" w:cs="仿宋"/>
            <w:b w:val="0"/>
            <w:color w:val="auto"/>
            <w:sz w:val="28"/>
            <w:szCs w:val="28"/>
          </w:rPr>
          <w:delText>在山东法制报刊登催收公告，对借款人及保证人进行催收，所涉保证人可能存在脱保风险。</w:delText>
        </w:r>
      </w:del>
    </w:p>
    <w:p>
      <w:pPr>
        <w:snapToGrid w:val="0"/>
        <w:spacing w:line="500" w:lineRule="exact"/>
        <w:ind w:firstLine="548" w:firstLineChars="196"/>
        <w:rPr>
          <w:rFonts w:hint="eastAsia" w:ascii="仿宋" w:hAnsi="仿宋" w:eastAsia="仿宋" w:cs="仿宋"/>
          <w:color w:val="auto"/>
          <w:sz w:val="28"/>
          <w:szCs w:val="28"/>
        </w:rPr>
      </w:pPr>
      <w:bookmarkStart w:id="0" w:name="_GoBack"/>
      <w:bookmarkEnd w:id="0"/>
      <w:r>
        <w:rPr>
          <w:rFonts w:hint="eastAsia" w:ascii="仿宋" w:hAnsi="仿宋" w:eastAsia="仿宋" w:cs="仿宋"/>
          <w:color w:val="auto"/>
          <w:sz w:val="28"/>
          <w:szCs w:val="28"/>
        </w:rPr>
        <w:t>竞买人应承诺受让债权后将不以任何理由向长城公司山东分公司追索任何责任，自愿承担一切风险。长城公司山东分公司对上述瑕疵或风险不发表任何判断性结论，由竞买人自行作出判断，</w:t>
      </w:r>
      <w:r>
        <w:rPr>
          <w:rFonts w:hint="eastAsia" w:ascii="仿宋" w:hAnsi="仿宋" w:eastAsia="仿宋" w:cs="仿宋"/>
          <w:color w:val="auto"/>
          <w:sz w:val="28"/>
          <w:szCs w:val="28"/>
          <w:lang w:eastAsia="zh-CN"/>
        </w:rPr>
        <w:t>拍卖人、</w:t>
      </w:r>
      <w:r>
        <w:rPr>
          <w:rFonts w:hint="eastAsia" w:ascii="仿宋" w:hAnsi="仿宋" w:eastAsia="仿宋" w:cs="仿宋"/>
          <w:color w:val="auto"/>
          <w:sz w:val="28"/>
          <w:szCs w:val="28"/>
        </w:rPr>
        <w:t>长城公司山东分公司及前手权利人不承担任何责任。</w:t>
      </w:r>
    </w:p>
    <w:p>
      <w:pPr>
        <w:snapToGrid w:val="0"/>
        <w:spacing w:line="500" w:lineRule="exact"/>
        <w:ind w:firstLine="548" w:firstLineChars="196"/>
        <w:rPr>
          <w:rFonts w:hint="eastAsia" w:ascii="仿宋" w:hAnsi="仿宋" w:eastAsia="仿宋" w:cs="仿宋"/>
          <w:b w:val="0"/>
          <w:bCs w:val="0"/>
          <w:sz w:val="28"/>
          <w:szCs w:val="28"/>
        </w:rPr>
      </w:pPr>
      <w:r>
        <w:rPr>
          <w:rFonts w:hint="eastAsia" w:ascii="仿宋" w:hAnsi="仿宋" w:eastAsia="仿宋" w:cs="仿宋"/>
          <w:b w:val="0"/>
          <w:bCs w:val="0"/>
          <w:color w:val="auto"/>
          <w:sz w:val="28"/>
          <w:szCs w:val="28"/>
          <w:lang w:eastAsia="zh-CN"/>
        </w:rPr>
        <w:t>竞买人</w:t>
      </w:r>
      <w:r>
        <w:rPr>
          <w:rFonts w:hint="eastAsia" w:ascii="仿宋" w:hAnsi="仿宋" w:eastAsia="仿宋" w:cs="仿宋"/>
          <w:b w:val="0"/>
          <w:bCs w:val="0"/>
          <w:color w:val="auto"/>
          <w:sz w:val="28"/>
          <w:szCs w:val="28"/>
        </w:rPr>
        <w:t>声明并承诺：本人已全面了解拍卖标的现状（包括瑕疵），认可本次拍卖会的全部要求，对所拍卖的标的无异议，并承诺按竞买协议及竞买须知要求办理各项事宜。如果违约，由委托方、拍卖公司按照《拍卖法》及有关法律规定办理，并承担违约责任。</w:t>
      </w:r>
    </w:p>
    <w:p>
      <w:pPr>
        <w:snapToGrid w:val="0"/>
        <w:spacing w:line="500" w:lineRule="exact"/>
        <w:ind w:firstLine="548" w:firstLineChars="196"/>
        <w:rPr>
          <w:rFonts w:hint="eastAsia" w:ascii="仿宋" w:hAnsi="仿宋" w:eastAsia="仿宋" w:cs="仿宋"/>
          <w:color w:val="000000"/>
          <w:sz w:val="28"/>
          <w:szCs w:val="28"/>
        </w:rPr>
      </w:pPr>
    </w:p>
    <w:p>
      <w:pPr>
        <w:spacing w:line="500" w:lineRule="exact"/>
        <w:ind w:firstLine="562" w:firstLineChars="200"/>
        <w:jc w:val="left"/>
        <w:rPr>
          <w:rFonts w:hint="eastAsia" w:ascii="仿宋" w:hAnsi="仿宋" w:eastAsia="仿宋" w:cs="仿宋"/>
          <w:color w:val="000000"/>
          <w:sz w:val="28"/>
          <w:szCs w:val="28"/>
        </w:rPr>
      </w:pPr>
      <w:r>
        <w:rPr>
          <w:rFonts w:hint="eastAsia" w:ascii="仿宋" w:hAnsi="仿宋" w:eastAsia="仿宋" w:cs="仿宋"/>
          <w:b/>
          <w:bCs/>
          <w:color w:val="000000"/>
          <w:sz w:val="28"/>
          <w:szCs w:val="28"/>
        </w:rPr>
        <w:t>竞买人签字</w:t>
      </w:r>
      <w:r>
        <w:rPr>
          <w:rFonts w:hint="eastAsia" w:ascii="仿宋" w:hAnsi="仿宋" w:eastAsia="仿宋" w:cs="仿宋"/>
          <w:b/>
          <w:bCs/>
          <w:color w:val="000000"/>
          <w:sz w:val="28"/>
          <w:szCs w:val="28"/>
          <w:lang w:val="en-US" w:eastAsia="zh-CN"/>
        </w:rPr>
        <w:t xml:space="preserve"> (单位公章)：</w:t>
      </w:r>
    </w:p>
    <w:p>
      <w:pPr>
        <w:wordWrap w:val="0"/>
        <w:spacing w:line="500" w:lineRule="exact"/>
        <w:ind w:firstLine="562" w:firstLineChars="200"/>
        <w:jc w:val="right"/>
        <w:rPr>
          <w:rFonts w:hint="eastAsia" w:ascii="仿宋" w:hAnsi="仿宋" w:eastAsia="仿宋" w:cs="仿宋"/>
          <w:b/>
          <w:bCs/>
          <w:color w:val="000000"/>
          <w:sz w:val="28"/>
          <w:szCs w:val="28"/>
          <w:lang w:val="en-US" w:eastAsia="zh-CN"/>
        </w:rPr>
      </w:pPr>
    </w:p>
    <w:p>
      <w:pPr>
        <w:wordWrap w:val="0"/>
        <w:spacing w:line="500" w:lineRule="exact"/>
        <w:ind w:firstLine="562" w:firstLineChars="200"/>
        <w:jc w:val="right"/>
        <w:rPr>
          <w:rFonts w:hint="eastAsia" w:ascii="仿宋" w:hAnsi="仿宋" w:eastAsia="仿宋" w:cs="仿宋"/>
          <w:b/>
          <w:bCs/>
          <w:color w:val="000000"/>
          <w:sz w:val="28"/>
          <w:szCs w:val="28"/>
          <w:lang w:val="en-US" w:eastAsia="zh-CN"/>
        </w:rPr>
      </w:pPr>
    </w:p>
    <w:p>
      <w:pPr>
        <w:wordWrap w:val="0"/>
        <w:spacing w:line="500" w:lineRule="exact"/>
        <w:ind w:firstLine="562" w:firstLineChars="200"/>
        <w:jc w:val="right"/>
        <w:rPr>
          <w:rFonts w:hint="eastAsia" w:ascii="仿宋" w:hAnsi="仿宋" w:eastAsia="仿宋" w:cs="仿宋"/>
          <w:b/>
          <w:bCs/>
          <w:color w:val="000000"/>
          <w:sz w:val="28"/>
          <w:szCs w:val="28"/>
          <w:lang w:val="en-US" w:eastAsia="zh-CN"/>
        </w:rPr>
      </w:pPr>
    </w:p>
    <w:p>
      <w:pPr>
        <w:wordWrap w:val="0"/>
        <w:spacing w:line="500" w:lineRule="exact"/>
        <w:ind w:firstLine="562" w:firstLineChars="200"/>
        <w:jc w:val="right"/>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光彩银星拍卖有限公司</w:t>
      </w:r>
      <w:r>
        <w:rPr>
          <w:rFonts w:hint="eastAsia" w:ascii="仿宋" w:hAnsi="仿宋" w:eastAsia="仿宋" w:cs="仿宋"/>
          <w:b/>
          <w:bCs/>
          <w:color w:val="000000"/>
          <w:sz w:val="28"/>
          <w:szCs w:val="28"/>
          <w:lang w:val="en-US" w:eastAsia="zh-CN"/>
        </w:rPr>
        <w:t xml:space="preserve">  </w:t>
      </w:r>
    </w:p>
    <w:p>
      <w:pPr>
        <w:spacing w:line="50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2021年5月27日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ongl">
    <w15:presenceInfo w15:providerId="None" w15:userId="hong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22"/>
    <w:rsid w:val="000107E6"/>
    <w:rsid w:val="0005093E"/>
    <w:rsid w:val="00087F4D"/>
    <w:rsid w:val="000C1FB2"/>
    <w:rsid w:val="00156C84"/>
    <w:rsid w:val="001A10D8"/>
    <w:rsid w:val="00380600"/>
    <w:rsid w:val="00407E1B"/>
    <w:rsid w:val="00411964"/>
    <w:rsid w:val="00493FA1"/>
    <w:rsid w:val="004A7B13"/>
    <w:rsid w:val="00503251"/>
    <w:rsid w:val="00531492"/>
    <w:rsid w:val="005379A1"/>
    <w:rsid w:val="0059204E"/>
    <w:rsid w:val="005D45D0"/>
    <w:rsid w:val="00677725"/>
    <w:rsid w:val="00696159"/>
    <w:rsid w:val="006B3DF6"/>
    <w:rsid w:val="007745EF"/>
    <w:rsid w:val="00776E28"/>
    <w:rsid w:val="00972FCC"/>
    <w:rsid w:val="009E6445"/>
    <w:rsid w:val="00A1557D"/>
    <w:rsid w:val="00A15E89"/>
    <w:rsid w:val="00A602BA"/>
    <w:rsid w:val="00AB16F9"/>
    <w:rsid w:val="00AF5D9E"/>
    <w:rsid w:val="00BB656E"/>
    <w:rsid w:val="00BD078F"/>
    <w:rsid w:val="00C1405E"/>
    <w:rsid w:val="00C169DB"/>
    <w:rsid w:val="00D06D12"/>
    <w:rsid w:val="00D80BE3"/>
    <w:rsid w:val="00DB4569"/>
    <w:rsid w:val="00DF597A"/>
    <w:rsid w:val="00E07736"/>
    <w:rsid w:val="00E3263C"/>
    <w:rsid w:val="00E614E2"/>
    <w:rsid w:val="00EE4177"/>
    <w:rsid w:val="00F91415"/>
    <w:rsid w:val="00F970C3"/>
    <w:rsid w:val="00FB0511"/>
    <w:rsid w:val="00FE2755"/>
    <w:rsid w:val="025A1E52"/>
    <w:rsid w:val="0345226B"/>
    <w:rsid w:val="072B1C68"/>
    <w:rsid w:val="096C0BCF"/>
    <w:rsid w:val="0DB4363B"/>
    <w:rsid w:val="0FFD501F"/>
    <w:rsid w:val="10275A60"/>
    <w:rsid w:val="10D43807"/>
    <w:rsid w:val="17580747"/>
    <w:rsid w:val="1919739F"/>
    <w:rsid w:val="1C877397"/>
    <w:rsid w:val="1DBC563E"/>
    <w:rsid w:val="1F8220EA"/>
    <w:rsid w:val="21917C3D"/>
    <w:rsid w:val="21ED4D71"/>
    <w:rsid w:val="22102F4D"/>
    <w:rsid w:val="24575584"/>
    <w:rsid w:val="24E03205"/>
    <w:rsid w:val="26767A40"/>
    <w:rsid w:val="28A511BD"/>
    <w:rsid w:val="3031111E"/>
    <w:rsid w:val="3256430F"/>
    <w:rsid w:val="357A3A25"/>
    <w:rsid w:val="3581054D"/>
    <w:rsid w:val="3723716F"/>
    <w:rsid w:val="3A3A28D6"/>
    <w:rsid w:val="411421CE"/>
    <w:rsid w:val="465D2D4B"/>
    <w:rsid w:val="48853BDF"/>
    <w:rsid w:val="4A7A41D8"/>
    <w:rsid w:val="4A8F1DB8"/>
    <w:rsid w:val="4B3451EA"/>
    <w:rsid w:val="4B50378B"/>
    <w:rsid w:val="4BE44644"/>
    <w:rsid w:val="4D2571AF"/>
    <w:rsid w:val="4F390BF3"/>
    <w:rsid w:val="503D3E3A"/>
    <w:rsid w:val="54FF48AC"/>
    <w:rsid w:val="5B1478F6"/>
    <w:rsid w:val="5B8E1592"/>
    <w:rsid w:val="5E086704"/>
    <w:rsid w:val="5E6758CB"/>
    <w:rsid w:val="5F390517"/>
    <w:rsid w:val="62DD20EE"/>
    <w:rsid w:val="62E55BBC"/>
    <w:rsid w:val="645E0C0F"/>
    <w:rsid w:val="64B97B44"/>
    <w:rsid w:val="69FC0C75"/>
    <w:rsid w:val="6B524C0D"/>
    <w:rsid w:val="6BBB1A5F"/>
    <w:rsid w:val="6D4F101F"/>
    <w:rsid w:val="6E7B57DF"/>
    <w:rsid w:val="70F43792"/>
    <w:rsid w:val="7181238A"/>
    <w:rsid w:val="71FB6A51"/>
    <w:rsid w:val="74F3142E"/>
    <w:rsid w:val="77612958"/>
    <w:rsid w:val="7B2A1A27"/>
    <w:rsid w:val="7E3C66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link w:val="12"/>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仿宋_GB2312"/>
      <w:sz w:val="32"/>
    </w:rPr>
  </w:style>
  <w:style w:type="paragraph" w:styleId="3">
    <w:name w:val="Body Text Indent"/>
    <w:basedOn w:val="1"/>
    <w:qFormat/>
    <w:uiPriority w:val="0"/>
    <w:pPr>
      <w:spacing w:after="120" w:afterLines="0"/>
      <w:ind w:left="420" w:leftChars="200"/>
    </w:pPr>
  </w:style>
  <w:style w:type="paragraph" w:styleId="4">
    <w:name w:val="Date"/>
    <w:basedOn w:val="1"/>
    <w:next w:val="1"/>
    <w:link w:val="17"/>
    <w:qFormat/>
    <w:uiPriority w:val="0"/>
    <w:pPr>
      <w:ind w:left="100" w:leftChars="2500"/>
    </w:pPr>
    <w:rPr>
      <w:kern w:val="2"/>
      <w:sz w:val="21"/>
      <w:szCs w:val="24"/>
    </w:rPr>
  </w:style>
  <w:style w:type="paragraph" w:styleId="5">
    <w:name w:val="Body Text Indent 2"/>
    <w:basedOn w:val="1"/>
    <w:qFormat/>
    <w:uiPriority w:val="0"/>
    <w:pPr>
      <w:ind w:firstLine="642" w:firstLineChars="200"/>
    </w:pPr>
    <w:rPr>
      <w:rFonts w:eastAsia="仿宋_GB2312"/>
      <w:sz w:val="32"/>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kern w:val="2"/>
      <w:sz w:val="18"/>
      <w:szCs w:val="18"/>
    </w:rPr>
  </w:style>
  <w:style w:type="paragraph" w:styleId="9">
    <w:name w:val="toc 2"/>
    <w:basedOn w:val="1"/>
    <w:next w:val="1"/>
    <w:qFormat/>
    <w:uiPriority w:val="0"/>
    <w:pPr>
      <w:ind w:left="420" w:leftChars="200"/>
    </w:pPr>
  </w:style>
  <w:style w:type="paragraph" w:customStyle="1" w:styleId="12">
    <w:name w:val="_Style 7"/>
    <w:basedOn w:val="1"/>
    <w:link w:val="11"/>
    <w:qFormat/>
    <w:uiPriority w:val="0"/>
  </w:style>
  <w:style w:type="character" w:styleId="13">
    <w:name w:val="page number"/>
    <w:basedOn w:val="11"/>
    <w:qFormat/>
    <w:uiPriority w:val="0"/>
  </w:style>
  <w:style w:type="paragraph" w:customStyle="1" w:styleId="14">
    <w:name w:val="Char"/>
    <w:basedOn w:val="1"/>
    <w:qFormat/>
    <w:uiPriority w:val="0"/>
  </w:style>
  <w:style w:type="paragraph" w:customStyle="1" w:styleId="15">
    <w:name w:val="默认段落字体 Para Char Char Char Char Char Char Char"/>
    <w:basedOn w:val="1"/>
    <w:qFormat/>
    <w:uiPriority w:val="0"/>
  </w:style>
  <w:style w:type="paragraph" w:customStyle="1" w:styleId="16">
    <w:name w:val=" Char"/>
    <w:basedOn w:val="1"/>
    <w:qFormat/>
    <w:uiPriority w:val="0"/>
  </w:style>
  <w:style w:type="character" w:customStyle="1" w:styleId="17">
    <w:name w:val="日期 Char"/>
    <w:link w:val="4"/>
    <w:qFormat/>
    <w:uiPriority w:val="0"/>
    <w:rPr>
      <w:kern w:val="2"/>
      <w:sz w:val="21"/>
      <w:szCs w:val="24"/>
    </w:rPr>
  </w:style>
  <w:style w:type="character" w:customStyle="1" w:styleId="18">
    <w:name w:val="页眉 Char Char"/>
    <w:link w:val="8"/>
    <w:qFormat/>
    <w:uiPriority w:val="0"/>
    <w:rPr>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GWAMCC</Company>
  <Pages>4</Pages>
  <Words>346</Words>
  <Characters>1978</Characters>
  <Lines>16</Lines>
  <Paragraphs>4</Paragraphs>
  <TotalTime>0</TotalTime>
  <ScaleCrop>false</ScaleCrop>
  <LinksUpToDate>false</LinksUpToDate>
  <CharactersWithSpaces>2320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2009-08-21T00:09:00Z</dcterms:created>
  <dc:creator>陈炜(总公司)</dc:creator>
  <cp:lastModifiedBy>hongl</cp:lastModifiedBy>
  <cp:lastPrinted>2020-09-15T05:38:00Z</cp:lastPrinted>
  <dcterms:modified xsi:type="dcterms:W3CDTF">2021-05-24T03:54:09Z</dcterms:modified>
  <dc:title>附件1：</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y fmtid="{D5CDD505-2E9C-101B-9397-08002B2CF9AE}" pid="3" name="ICV">
    <vt:lpwstr>A88F7E26F94E4E0FA3B87EF23177C425</vt:lpwstr>
  </property>
</Properties>
</file>