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hint="eastAsia" w:ascii="楷体" w:hAnsi="楷体" w:eastAsia="楷体"/>
          <w:b/>
          <w:sz w:val="24"/>
        </w:rPr>
      </w:pPr>
    </w:p>
    <w:p>
      <w:pPr>
        <w:spacing w:line="360" w:lineRule="auto"/>
        <w:jc w:val="center"/>
        <w:outlineLvl w:val="0"/>
        <w:rPr>
          <w:rFonts w:ascii="楷体" w:hAnsi="楷体" w:eastAsia="楷体"/>
          <w:b/>
          <w:sz w:val="24"/>
        </w:rPr>
      </w:pPr>
      <w:r>
        <w:rPr>
          <w:rFonts w:hint="eastAsia" w:ascii="楷体" w:hAnsi="楷体" w:eastAsia="楷体"/>
          <w:b/>
          <w:sz w:val="24"/>
        </w:rPr>
        <w:t>委托拍卖协议</w:t>
      </w:r>
      <w:r>
        <w:rPr>
          <w:rFonts w:ascii="楷体" w:hAnsi="楷体" w:eastAsia="楷体"/>
          <w:b/>
          <w:sz w:val="24"/>
        </w:rPr>
        <w:t>附件清单</w:t>
      </w:r>
    </w:p>
    <w:p>
      <w:pPr>
        <w:spacing w:line="360" w:lineRule="auto"/>
        <w:jc w:val="center"/>
        <w:outlineLvl w:val="0"/>
        <w:rPr>
          <w:rFonts w:ascii="楷体" w:hAnsi="楷体" w:eastAsia="楷体"/>
          <w:b/>
          <w:sz w:val="24"/>
        </w:rPr>
      </w:pPr>
    </w:p>
    <w:p>
      <w:pPr>
        <w:tabs>
          <w:tab w:val="left" w:pos="8280"/>
        </w:tabs>
        <w:snapToGrid w:val="0"/>
        <w:spacing w:line="360" w:lineRule="auto"/>
        <w:ind w:left="1446" w:right="-154"/>
        <w:rPr>
          <w:rFonts w:ascii="楷体" w:hAnsi="楷体" w:eastAsia="楷体"/>
          <w:b/>
          <w:sz w:val="24"/>
        </w:rPr>
      </w:pPr>
      <w:r>
        <w:rPr>
          <w:rFonts w:ascii="楷体" w:hAnsi="楷体" w:eastAsia="楷体"/>
          <w:b/>
          <w:sz w:val="24"/>
        </w:rPr>
        <w:t>附件一：</w:t>
      </w:r>
      <w:r>
        <w:rPr>
          <w:rFonts w:hint="eastAsia" w:ascii="楷体" w:hAnsi="楷体" w:eastAsia="楷体"/>
          <w:b/>
          <w:sz w:val="24"/>
        </w:rPr>
        <w:t>拍卖债权明细</w:t>
      </w:r>
    </w:p>
    <w:p>
      <w:pPr>
        <w:tabs>
          <w:tab w:val="left" w:pos="8280"/>
        </w:tabs>
        <w:snapToGrid w:val="0"/>
        <w:spacing w:line="360" w:lineRule="auto"/>
        <w:ind w:right="-154" w:firstLine="1446" w:firstLineChars="600"/>
        <w:rPr>
          <w:rFonts w:ascii="楷体" w:hAnsi="楷体" w:eastAsia="楷体"/>
          <w:b/>
          <w:sz w:val="24"/>
        </w:rPr>
      </w:pPr>
      <w:r>
        <w:rPr>
          <w:rFonts w:ascii="楷体" w:hAnsi="楷体" w:eastAsia="楷体"/>
          <w:b/>
          <w:sz w:val="24"/>
        </w:rPr>
        <w:t>附件二：</w:t>
      </w:r>
      <w:r>
        <w:rPr>
          <w:rFonts w:hint="eastAsia" w:ascii="楷体" w:hAnsi="楷体" w:eastAsia="楷体"/>
          <w:b/>
          <w:sz w:val="24"/>
        </w:rPr>
        <w:t>拍卖债权的权属文件</w:t>
      </w:r>
    </w:p>
    <w:p>
      <w:pPr>
        <w:tabs>
          <w:tab w:val="left" w:pos="8280"/>
        </w:tabs>
        <w:snapToGrid w:val="0"/>
        <w:spacing w:line="360" w:lineRule="auto"/>
        <w:ind w:right="-154" w:firstLine="1446" w:firstLineChars="600"/>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tabs>
          <w:tab w:val="left" w:pos="8280"/>
        </w:tabs>
        <w:snapToGrid w:val="0"/>
        <w:spacing w:line="360" w:lineRule="auto"/>
        <w:ind w:right="-154" w:firstLine="1446" w:firstLineChars="600"/>
        <w:rPr>
          <w:rFonts w:ascii="楷体" w:hAnsi="楷体" w:eastAsia="楷体"/>
          <w:b/>
          <w:sz w:val="24"/>
        </w:rPr>
      </w:pPr>
      <w:r>
        <w:rPr>
          <w:rFonts w:hint="eastAsia" w:ascii="楷体" w:hAnsi="楷体" w:eastAsia="楷体"/>
          <w:b/>
          <w:sz w:val="24"/>
        </w:rPr>
        <w:t>附件四：</w:t>
      </w:r>
      <w:r>
        <w:rPr>
          <w:rFonts w:ascii="楷体" w:hAnsi="楷体" w:eastAsia="楷体"/>
          <w:b/>
          <w:sz w:val="24"/>
        </w:rPr>
        <w:t>《债权转让</w:t>
      </w:r>
      <w:r>
        <w:rPr>
          <w:rFonts w:hint="eastAsia" w:ascii="楷体" w:hAnsi="楷体" w:eastAsia="楷体"/>
          <w:b/>
          <w:sz w:val="24"/>
        </w:rPr>
        <w:t>协议</w:t>
      </w:r>
      <w:r>
        <w:rPr>
          <w:rFonts w:ascii="楷体" w:hAnsi="楷体" w:eastAsia="楷体"/>
          <w:b/>
          <w:sz w:val="24"/>
        </w:rPr>
        <w:t>》</w:t>
      </w:r>
    </w:p>
    <w:p>
      <w:pPr>
        <w:tabs>
          <w:tab w:val="left" w:pos="8280"/>
        </w:tabs>
        <w:adjustRightInd w:val="0"/>
        <w:snapToGrid w:val="0"/>
        <w:spacing w:line="360" w:lineRule="auto"/>
        <w:ind w:right="-153" w:firstLine="1446" w:firstLineChars="600"/>
        <w:rPr>
          <w:rFonts w:ascii="楷体" w:hAnsi="楷体" w:eastAsia="楷体"/>
          <w:b/>
          <w:sz w:val="24"/>
        </w:rPr>
      </w:pPr>
      <w:r>
        <w:rPr>
          <w:rFonts w:hint="eastAsia" w:ascii="楷体" w:hAnsi="楷体" w:eastAsia="楷体"/>
          <w:b/>
          <w:sz w:val="24"/>
        </w:rPr>
        <w:t>附件五：拍卖成交确认书</w:t>
      </w:r>
    </w:p>
    <w:p>
      <w:pPr>
        <w:tabs>
          <w:tab w:val="left" w:pos="8280"/>
        </w:tabs>
        <w:adjustRightInd w:val="0"/>
        <w:snapToGrid w:val="0"/>
        <w:spacing w:line="360" w:lineRule="auto"/>
        <w:ind w:right="-153" w:firstLine="1446" w:firstLineChars="600"/>
        <w:rPr>
          <w:rFonts w:ascii="楷体" w:hAnsi="楷体" w:eastAsia="楷体"/>
          <w:b/>
          <w:sz w:val="24"/>
        </w:rPr>
      </w:pPr>
      <w:r>
        <w:rPr>
          <w:rFonts w:hint="eastAsia" w:ascii="楷体" w:hAnsi="楷体" w:eastAsia="楷体"/>
          <w:b/>
          <w:sz w:val="24"/>
        </w:rPr>
        <w:t>附件六：保密承诺函</w:t>
      </w:r>
    </w:p>
    <w:p>
      <w:pPr>
        <w:tabs>
          <w:tab w:val="left" w:pos="8280"/>
        </w:tabs>
        <w:adjustRightInd w:val="0"/>
        <w:snapToGrid w:val="0"/>
        <w:spacing w:line="360" w:lineRule="auto"/>
        <w:ind w:right="-153" w:firstLine="1446" w:firstLineChars="600"/>
        <w:rPr>
          <w:rFonts w:ascii="楷体" w:hAnsi="楷体" w:eastAsia="楷体"/>
          <w:b/>
          <w:sz w:val="24"/>
        </w:rPr>
      </w:pPr>
      <w:r>
        <w:rPr>
          <w:rFonts w:hint="eastAsia" w:ascii="楷体" w:hAnsi="楷体" w:eastAsia="楷体"/>
          <w:b/>
          <w:sz w:val="24"/>
        </w:rPr>
        <w:t>附件七：竞买人参加竞买承诺书</w:t>
      </w:r>
    </w:p>
    <w:p>
      <w:pPr>
        <w:rPr>
          <w:rFonts w:ascii="楷体" w:hAnsi="楷体" w:eastAsia="楷体"/>
        </w:rPr>
      </w:pPr>
    </w:p>
    <w:p>
      <w:pPr>
        <w:rPr>
          <w:rFonts w:ascii="楷体" w:hAnsi="楷体" w:eastAsia="楷体"/>
        </w:rPr>
      </w:pPr>
      <w:r>
        <w:rPr>
          <w:rFonts w:ascii="楷体" w:hAnsi="楷体" w:eastAsia="楷体"/>
        </w:rPr>
        <w:t xml:space="preserve">     </w:t>
      </w:r>
    </w:p>
    <w:p>
      <w:pPr>
        <w:rPr>
          <w:rFonts w:ascii="楷体" w:hAnsi="楷体" w:eastAsia="楷体"/>
        </w:rPr>
      </w:pPr>
      <w:r>
        <w:rPr>
          <w:rFonts w:ascii="楷体" w:hAnsi="楷体" w:eastAsia="楷体"/>
        </w:rPr>
        <w:br w:type="page"/>
      </w:r>
    </w:p>
    <w:p>
      <w:pPr>
        <w:keepLines/>
        <w:spacing w:before="120" w:after="120"/>
        <w:ind w:firstLine="3132" w:firstLineChars="1300"/>
        <w:outlineLvl w:val="0"/>
        <w:rPr>
          <w:rFonts w:ascii="仿宋_GB2312" w:eastAsia="仿宋_GB2312"/>
          <w:b/>
          <w:kern w:val="44"/>
          <w:sz w:val="24"/>
        </w:rPr>
      </w:pPr>
      <w:r>
        <w:rPr>
          <w:rFonts w:hint="eastAsia" w:ascii="仿宋_GB2312" w:eastAsia="仿宋_GB2312"/>
          <w:b/>
          <w:kern w:val="44"/>
          <w:sz w:val="24"/>
        </w:rPr>
        <w:t>附件一：拍卖债权明细表</w:t>
      </w:r>
    </w:p>
    <w:p>
      <w:pPr>
        <w:ind w:right="480"/>
        <w:rPr>
          <w:rFonts w:eastAsia="仿宋_GB2312"/>
        </w:rPr>
      </w:pPr>
      <w:r>
        <w:rPr>
          <w:rFonts w:hint="eastAsia" w:ascii="仿宋_GB2312" w:eastAsia="仿宋_GB2312"/>
          <w:sz w:val="24"/>
        </w:rPr>
        <w:t xml:space="preserve">                                                      单位：元</w:t>
      </w:r>
    </w:p>
    <w:tbl>
      <w:tblPr>
        <w:tblStyle w:val="14"/>
        <w:tblW w:w="10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
        <w:gridCol w:w="1563"/>
        <w:gridCol w:w="1418"/>
        <w:gridCol w:w="1275"/>
        <w:gridCol w:w="709"/>
        <w:gridCol w:w="1418"/>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dxa"/>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序号</w:t>
            </w:r>
          </w:p>
        </w:tc>
        <w:tc>
          <w:tcPr>
            <w:tcW w:w="1563" w:type="dxa"/>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rPr>
              <w:t>主债务人名称</w:t>
            </w:r>
          </w:p>
        </w:tc>
        <w:tc>
          <w:tcPr>
            <w:tcW w:w="1418" w:type="dxa"/>
            <w:shd w:val="clear" w:color="auto" w:fill="FFFFFF"/>
            <w:noWrap/>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债权本金</w:t>
            </w:r>
          </w:p>
        </w:tc>
        <w:tc>
          <w:tcPr>
            <w:tcW w:w="1275" w:type="dxa"/>
            <w:shd w:val="clear" w:color="auto" w:fill="FFFFFF"/>
            <w:noWrap/>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利息</w:t>
            </w:r>
          </w:p>
        </w:tc>
        <w:tc>
          <w:tcPr>
            <w:tcW w:w="709" w:type="dxa"/>
            <w:shd w:val="clear" w:color="auto" w:fill="FFFFFF"/>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rPr>
              <w:t>其他费用</w:t>
            </w:r>
          </w:p>
        </w:tc>
        <w:tc>
          <w:tcPr>
            <w:tcW w:w="1418" w:type="dxa"/>
            <w:shd w:val="clear" w:color="auto" w:fill="FFFFFF"/>
            <w:tcMar>
              <w:top w:w="15" w:type="dxa"/>
              <w:left w:w="15" w:type="dxa"/>
              <w:right w:w="15" w:type="dxa"/>
            </w:tcMar>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rPr>
              <w:t>本息合计</w:t>
            </w:r>
          </w:p>
        </w:tc>
        <w:tc>
          <w:tcPr>
            <w:tcW w:w="3912" w:type="dxa"/>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担保人(含抵质押物)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jc w:val="center"/>
        </w:trPr>
        <w:tc>
          <w:tcPr>
            <w:tcW w:w="282"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1563" w:type="dxa"/>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rPr>
              <w:t>齐鲁特钢有限公司</w:t>
            </w:r>
          </w:p>
        </w:tc>
        <w:tc>
          <w:tcPr>
            <w:tcW w:w="1418"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363,598,199.35</w:t>
            </w:r>
          </w:p>
        </w:tc>
        <w:tc>
          <w:tcPr>
            <w:tcW w:w="1275"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kern w:val="0"/>
                <w:szCs w:val="21"/>
              </w:rPr>
              <w:t>49,698,968.57</w:t>
            </w:r>
          </w:p>
        </w:tc>
        <w:tc>
          <w:tcPr>
            <w:tcW w:w="709" w:type="dxa"/>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590,000.00</w:t>
            </w:r>
          </w:p>
        </w:tc>
        <w:tc>
          <w:tcPr>
            <w:tcW w:w="1418" w:type="dxa"/>
            <w:shd w:val="clear" w:color="auto" w:fill="auto"/>
            <w:noWrap/>
            <w:tcMar>
              <w:top w:w="15" w:type="dxa"/>
              <w:left w:w="15" w:type="dxa"/>
              <w:right w:w="15" w:type="dxa"/>
            </w:tcMar>
          </w:tcPr>
          <w:p>
            <w:pPr>
              <w:widowControl/>
              <w:jc w:val="center"/>
              <w:textAlignment w:val="center"/>
              <w:rPr>
                <w:rFonts w:ascii="仿宋" w:hAnsi="仿宋" w:eastAsia="仿宋" w:cs="仿宋"/>
                <w:color w:val="000000"/>
                <w:szCs w:val="21"/>
              </w:rPr>
            </w:pPr>
            <w:r>
              <w:t>413</w:t>
            </w:r>
            <w:r>
              <w:rPr>
                <w:rFonts w:hint="eastAsia"/>
              </w:rPr>
              <w:t>,</w:t>
            </w:r>
            <w:r>
              <w:t>887</w:t>
            </w:r>
            <w:r>
              <w:rPr>
                <w:rFonts w:hint="eastAsia"/>
              </w:rPr>
              <w:t>,</w:t>
            </w:r>
            <w:r>
              <w:t>167.9</w:t>
            </w:r>
            <w:r>
              <w:rPr>
                <w:rFonts w:hint="eastAsia"/>
              </w:rPr>
              <w:t>2</w:t>
            </w:r>
          </w:p>
        </w:tc>
        <w:tc>
          <w:tcPr>
            <w:tcW w:w="3912" w:type="dxa"/>
            <w:shd w:val="clear" w:color="auto" w:fill="auto"/>
            <w:tcMar>
              <w:top w:w="15" w:type="dxa"/>
              <w:left w:w="15" w:type="dxa"/>
              <w:right w:w="15" w:type="dxa"/>
            </w:tcMa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山东东药药业股份有限公司、齐鲁工程装备有限公司、山东兖州合金钢股份有限公司、王大军、牛大伟、王峰、王春兰、齐鲁特钢有限公司以名下20MN快段压机、45MN快段压机、16MN快段压机、500吨推钢机、冶金起重机、两段式煤气炉设备提供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282"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1563" w:type="dxa"/>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rPr>
              <w:t>齐鲁工程装备有限公司</w:t>
            </w:r>
          </w:p>
        </w:tc>
        <w:tc>
          <w:tcPr>
            <w:tcW w:w="1418"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250，000，000.00</w:t>
            </w:r>
          </w:p>
        </w:tc>
        <w:tc>
          <w:tcPr>
            <w:tcW w:w="1275"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kern w:val="0"/>
                <w:szCs w:val="21"/>
              </w:rPr>
              <w:t>34,171,627.26</w:t>
            </w:r>
          </w:p>
        </w:tc>
        <w:tc>
          <w:tcPr>
            <w:tcW w:w="709" w:type="dxa"/>
          </w:tcPr>
          <w:p>
            <w:pPr>
              <w:widowControl/>
              <w:jc w:val="center"/>
              <w:textAlignment w:val="center"/>
              <w:rPr>
                <w:rFonts w:ascii="仿宋" w:hAnsi="仿宋" w:eastAsia="仿宋" w:cs="仿宋"/>
                <w:color w:val="000000"/>
                <w:kern w:val="0"/>
                <w:szCs w:val="21"/>
              </w:rPr>
            </w:pPr>
            <w:r>
              <w:rPr>
                <w:rFonts w:ascii="仿宋" w:hAnsi="仿宋" w:eastAsia="仿宋" w:cs="仿宋"/>
                <w:color w:val="000000"/>
                <w:kern w:val="0"/>
                <w:szCs w:val="21"/>
              </w:rPr>
              <w:t>410,000.00</w:t>
            </w:r>
          </w:p>
        </w:tc>
        <w:tc>
          <w:tcPr>
            <w:tcW w:w="1418" w:type="dxa"/>
            <w:shd w:val="clear" w:color="auto" w:fill="auto"/>
            <w:noWrap/>
            <w:tcMar>
              <w:top w:w="15" w:type="dxa"/>
              <w:left w:w="15" w:type="dxa"/>
              <w:right w:w="15" w:type="dxa"/>
            </w:tcMar>
          </w:tcPr>
          <w:p>
            <w:pPr>
              <w:widowControl/>
              <w:jc w:val="center"/>
              <w:textAlignment w:val="center"/>
              <w:rPr>
                <w:rFonts w:ascii="仿宋" w:hAnsi="仿宋" w:eastAsia="仿宋" w:cs="仿宋"/>
                <w:color w:val="000000"/>
                <w:szCs w:val="21"/>
              </w:rPr>
            </w:pPr>
            <w:r>
              <w:t>284</w:t>
            </w:r>
            <w:r>
              <w:rPr>
                <w:rFonts w:hint="eastAsia"/>
              </w:rPr>
              <w:t>,</w:t>
            </w:r>
            <w:r>
              <w:t>581</w:t>
            </w:r>
            <w:r>
              <w:rPr>
                <w:rFonts w:hint="eastAsia"/>
              </w:rPr>
              <w:t>,</w:t>
            </w:r>
            <w:r>
              <w:t>627.</w:t>
            </w:r>
            <w:r>
              <w:rPr>
                <w:rFonts w:hint="eastAsia"/>
              </w:rPr>
              <w:t>26</w:t>
            </w:r>
          </w:p>
        </w:tc>
        <w:tc>
          <w:tcPr>
            <w:tcW w:w="3912" w:type="dxa"/>
            <w:shd w:val="clear" w:color="auto" w:fill="auto"/>
            <w:tcMar>
              <w:top w:w="15" w:type="dxa"/>
              <w:left w:w="15" w:type="dxa"/>
              <w:right w:w="15" w:type="dxa"/>
            </w:tcMa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山东洪达化工有限公司、山东东巨化工股份有限公司、齐鲁特钢有限公司、齐鲁工程装备有限公司以名下151亩工业用地提供抵押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1845" w:type="dxa"/>
            <w:gridSpan w:val="2"/>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szCs w:val="21"/>
              </w:rPr>
              <w:t>合  计</w:t>
            </w:r>
          </w:p>
        </w:tc>
        <w:tc>
          <w:tcPr>
            <w:tcW w:w="1418" w:type="dxa"/>
            <w:shd w:val="clear" w:color="auto" w:fill="auto"/>
            <w:noWrap/>
            <w:tcMar>
              <w:top w:w="15" w:type="dxa"/>
              <w:left w:w="15" w:type="dxa"/>
              <w:right w:w="15" w:type="dxa"/>
            </w:tcMar>
          </w:tcPr>
          <w:p>
            <w:pPr>
              <w:rPr>
                <w:b/>
              </w:rPr>
            </w:pPr>
            <w:r>
              <w:rPr>
                <w:b/>
              </w:rPr>
              <w:t>613,598,199.35</w:t>
            </w:r>
          </w:p>
        </w:tc>
        <w:tc>
          <w:tcPr>
            <w:tcW w:w="1275" w:type="dxa"/>
            <w:shd w:val="clear" w:color="auto" w:fill="auto"/>
            <w:noWrap/>
            <w:tcMar>
              <w:top w:w="15" w:type="dxa"/>
              <w:left w:w="15" w:type="dxa"/>
              <w:right w:w="15" w:type="dxa"/>
            </w:tcMar>
          </w:tcPr>
          <w:p>
            <w:pPr>
              <w:rPr>
                <w:b/>
              </w:rPr>
            </w:pPr>
            <w:r>
              <w:rPr>
                <w:b/>
              </w:rPr>
              <w:t>83,870,595.83</w:t>
            </w:r>
          </w:p>
        </w:tc>
        <w:tc>
          <w:tcPr>
            <w:tcW w:w="709" w:type="dxa"/>
          </w:tcPr>
          <w:p>
            <w:pPr>
              <w:rPr>
                <w:b/>
              </w:rPr>
            </w:pPr>
            <w:r>
              <w:rPr>
                <w:b/>
              </w:rPr>
              <w:t>1,000,000.00</w:t>
            </w:r>
          </w:p>
        </w:tc>
        <w:tc>
          <w:tcPr>
            <w:tcW w:w="1418" w:type="dxa"/>
            <w:shd w:val="clear" w:color="auto" w:fill="auto"/>
            <w:noWrap/>
            <w:tcMar>
              <w:top w:w="15" w:type="dxa"/>
              <w:left w:w="15" w:type="dxa"/>
              <w:right w:w="15" w:type="dxa"/>
            </w:tcMar>
          </w:tcPr>
          <w:p>
            <w:pPr>
              <w:rPr>
                <w:b/>
              </w:rPr>
            </w:pPr>
            <w:r>
              <w:rPr>
                <w:b/>
              </w:rPr>
              <w:t>698,468,795.18</w:t>
            </w:r>
          </w:p>
        </w:tc>
        <w:tc>
          <w:tcPr>
            <w:tcW w:w="3912"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b/>
                <w:color w:val="000000"/>
                <w:szCs w:val="21"/>
              </w:rPr>
            </w:pPr>
          </w:p>
        </w:tc>
      </w:tr>
    </w:tbl>
    <w:p>
      <w:pPr>
        <w:rPr>
          <w:rFonts w:ascii="仿宋_GB2312" w:eastAsia="仿宋_GB2312"/>
          <w:sz w:val="24"/>
        </w:rPr>
      </w:pPr>
      <w:r>
        <w:rPr>
          <w:rFonts w:hint="eastAsia" w:ascii="仿宋_GB2312" w:eastAsia="仿宋_GB2312"/>
          <w:sz w:val="24"/>
        </w:rPr>
        <w:t>注：债权数额最终以贷款资料载明或司法文书确认的为准</w:t>
      </w: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p>
    <w:p>
      <w:pPr>
        <w:jc w:val="center"/>
        <w:rPr>
          <w:rFonts w:ascii="仿宋_GB2312" w:eastAsia="仿宋_GB2312"/>
          <w:b/>
          <w:sz w:val="24"/>
        </w:rPr>
      </w:pPr>
      <w:r>
        <w:rPr>
          <w:rFonts w:hint="eastAsia" w:ascii="仿宋_GB2312" w:eastAsia="仿宋_GB2312"/>
          <w:b/>
          <w:sz w:val="24"/>
        </w:rPr>
        <w:t>附件二：拍卖债权权属文件清单</w:t>
      </w:r>
    </w:p>
    <w:p>
      <w:pPr>
        <w:jc w:val="center"/>
        <w:rPr>
          <w:rFonts w:ascii="仿宋_GB2312" w:eastAsia="仿宋_GB2312"/>
          <w:b/>
          <w:sz w:val="24"/>
        </w:rPr>
      </w:pPr>
    </w:p>
    <w:p>
      <w:pPr>
        <w:pStyle w:val="30"/>
        <w:ind w:left="360" w:firstLine="0" w:firstLineChars="0"/>
        <w:rPr>
          <w:rFonts w:ascii="仿宋_GB2312" w:eastAsia="仿宋_GB2312" w:cs="仿宋_GB2312"/>
          <w:bCs/>
          <w:kern w:val="44"/>
          <w:sz w:val="24"/>
        </w:rPr>
      </w:pPr>
      <w:r>
        <w:rPr>
          <w:rFonts w:hint="eastAsia" w:ascii="仿宋_GB2312" w:eastAsia="仿宋_GB2312" w:cs="仿宋_GB2312"/>
          <w:bCs/>
          <w:kern w:val="44"/>
          <w:sz w:val="24"/>
        </w:rPr>
        <w:t>1.企业名称：齐鲁特钢有限公司</w:t>
      </w:r>
    </w:p>
    <w:tbl>
      <w:tblPr>
        <w:tblStyle w:val="14"/>
        <w:tblW w:w="8522" w:type="dxa"/>
        <w:tblInd w:w="0" w:type="dxa"/>
        <w:tblLayout w:type="fixed"/>
        <w:tblCellMar>
          <w:top w:w="0" w:type="dxa"/>
          <w:left w:w="108" w:type="dxa"/>
          <w:bottom w:w="0" w:type="dxa"/>
          <w:right w:w="108" w:type="dxa"/>
        </w:tblCellMar>
      </w:tblPr>
      <w:tblGrid>
        <w:gridCol w:w="593"/>
        <w:gridCol w:w="1227"/>
        <w:gridCol w:w="4832"/>
        <w:gridCol w:w="867"/>
        <w:gridCol w:w="1003"/>
      </w:tblGrid>
      <w:tr>
        <w:tblPrEx>
          <w:tblCellMar>
            <w:top w:w="0" w:type="dxa"/>
            <w:left w:w="108" w:type="dxa"/>
            <w:bottom w:w="0" w:type="dxa"/>
            <w:right w:w="108" w:type="dxa"/>
          </w:tblCellMar>
        </w:tblPrEx>
        <w:trPr>
          <w:trHeight w:val="693" w:hRule="atLeast"/>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2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项目名称</w:t>
            </w:r>
          </w:p>
        </w:tc>
        <w:tc>
          <w:tcPr>
            <w:tcW w:w="48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重要凭证名称及编号</w:t>
            </w:r>
          </w:p>
        </w:tc>
        <w:tc>
          <w:tcPr>
            <w:tcW w:w="8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原件份数</w:t>
            </w:r>
          </w:p>
        </w:tc>
        <w:tc>
          <w:tcPr>
            <w:tcW w:w="10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复印件份数</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No1234787</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No1234786</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No1348556</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No1348557</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No1348560</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No1289483</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No1289484</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No1289485</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No1289486</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中国工商银行借款凭证  No1289489</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编号：2016年（兖州）字00245号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借款展期协议  编号：0160800020-2017年（展）字0016号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编号：2017年（兖州）字00021号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编号：2017年（兖州）字00025号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编号：2017年（兖州）字00026号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编号：2017年（兖州）字00027号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编号：2017年（兖州）字00032号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编号：2017年（兖州）字00050号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编号：2017年（兖州）字00108号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编号：2017年（兖州）字00118号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流动资金借款合同  编号：2017年（兖州）字00119号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最高额保证合同  编号：2015年兖州（保）字0050号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最高额保证合同  编号：2016年兖州（保）字0006号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最高额保证合同  编号：2017年兖州（保）字0213-1号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最高额保证合同  编号：2017年兖州（保）字0213-2号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最高额保证合同  编号：2017年兖州（保）字0213-3号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最高额保证合同  编号：2017年兖州（保）字1229号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最高额抵押合同  编号：2016年兖州（抵）字1019号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动产抵押登记书  编号：兖工商抵登字（2016）00070号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济宁仲裁委受理通知书  编号：济仲金案字（2018）第55号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济宁市兖州区人民法院民事裁定书  编号：（2018）鲁0812财保62号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济宁市兖州区人民法院民事裁定书  编号：（2018）鲁0812财保62号之一</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济宁市兖州区人民法院民事裁定书  编号：（2018）鲁0812财保62号之二</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济宁仲裁委裁决书  编号：济仲金案字（2018）第55号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122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济宁市兖州区人民法院民事裁定书  编号：（2019）鲁0812破4、9、10号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122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济宁市兖州区人民法院民事裁定书  编号：（2019）鲁0812破4、9、10号之一</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122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济宁市兖州区人民法院民事裁定书  编号：（2019）鲁0812破4号之二</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122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济宁市兖州区人民法院民事裁定书  编号：（2019）鲁0812破申4号之一</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122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济宁仲裁委裁决书  编号：济仲金案字（2018）第55号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122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齐鲁特钢有限公司</w:t>
            </w:r>
          </w:p>
        </w:tc>
        <w:tc>
          <w:tcPr>
            <w:tcW w:w="4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济宁市中级人民法院民事裁定书  编号：（2019）鲁08破申5号</w:t>
            </w:r>
          </w:p>
        </w:tc>
        <w:tc>
          <w:tcPr>
            <w:tcW w:w="8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pStyle w:val="30"/>
        <w:ind w:left="360" w:firstLine="0" w:firstLineChars="0"/>
        <w:rPr>
          <w:rFonts w:ascii="仿宋_GB2312" w:eastAsia="仿宋_GB2312" w:cs="仿宋_GB2312"/>
          <w:bCs/>
          <w:kern w:val="44"/>
          <w:sz w:val="24"/>
        </w:rPr>
      </w:pPr>
    </w:p>
    <w:p>
      <w:pPr>
        <w:pStyle w:val="30"/>
        <w:ind w:left="360" w:firstLine="0" w:firstLineChars="0"/>
        <w:rPr>
          <w:rFonts w:ascii="仿宋_GB2312" w:eastAsia="仿宋_GB2312" w:cs="仿宋_GB2312"/>
          <w:bCs/>
          <w:kern w:val="44"/>
          <w:sz w:val="24"/>
        </w:rPr>
      </w:pPr>
    </w:p>
    <w:p>
      <w:pPr>
        <w:pStyle w:val="30"/>
        <w:ind w:left="360" w:firstLine="0" w:firstLineChars="0"/>
        <w:rPr>
          <w:rFonts w:ascii="仿宋_GB2312" w:eastAsia="仿宋_GB2312" w:cs="仿宋_GB2312"/>
          <w:bCs/>
          <w:kern w:val="44"/>
          <w:sz w:val="24"/>
        </w:rPr>
      </w:pPr>
      <w:r>
        <w:rPr>
          <w:rFonts w:hint="eastAsia" w:ascii="仿宋_GB2312" w:eastAsia="仿宋_GB2312" w:cs="仿宋_GB2312"/>
          <w:bCs/>
          <w:kern w:val="44"/>
          <w:sz w:val="24"/>
        </w:rPr>
        <w:t>2.企业名称：齐鲁工程装备有限公司</w:t>
      </w:r>
    </w:p>
    <w:tbl>
      <w:tblPr>
        <w:tblStyle w:val="14"/>
        <w:tblW w:w="8429" w:type="dxa"/>
        <w:tblInd w:w="93" w:type="dxa"/>
        <w:tblLayout w:type="fixed"/>
        <w:tblCellMar>
          <w:top w:w="0" w:type="dxa"/>
          <w:left w:w="108" w:type="dxa"/>
          <w:bottom w:w="0" w:type="dxa"/>
          <w:right w:w="108" w:type="dxa"/>
        </w:tblCellMar>
      </w:tblPr>
      <w:tblGrid>
        <w:gridCol w:w="598"/>
        <w:gridCol w:w="1485"/>
        <w:gridCol w:w="4447"/>
        <w:gridCol w:w="879"/>
        <w:gridCol w:w="1020"/>
      </w:tblGrid>
      <w:tr>
        <w:tblPrEx>
          <w:tblCellMar>
            <w:top w:w="0" w:type="dxa"/>
            <w:left w:w="108" w:type="dxa"/>
            <w:bottom w:w="0" w:type="dxa"/>
            <w:right w:w="108" w:type="dxa"/>
          </w:tblCellMar>
        </w:tblPrEx>
        <w:trPr>
          <w:trHeight w:val="735" w:hRule="atLeast"/>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项目名称</w:t>
            </w:r>
          </w:p>
        </w:tc>
        <w:tc>
          <w:tcPr>
            <w:tcW w:w="44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重要凭证名称及编号</w:t>
            </w:r>
          </w:p>
        </w:tc>
        <w:tc>
          <w:tcPr>
            <w:tcW w:w="8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原件份数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复印件份数</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中国工商银行借款凭证  No1210041</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中国工商银行借款凭证  No1210042</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中国工商银行借款凭证  No1210043</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中国工商银行借款凭证  No1210044</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中国工商银行借款凭证  No1210045</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中国工商银行借款凭证  No1210049</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中国工商银行借款凭证  No1210050</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中国工商银行借款凭证  No1210052</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固定资产借款合同  编号：2015年（兖州）字0186号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最高额保证合同  编号：2015年兖州（保）字0035号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最高额保证合同  编号：2015年兖州（保）字000001号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最高额保证合同  编号：2015年兖州（保）字0034号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抵押合同  编号：2015年兖州（抵）字0020号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保证人股东同意担保决定</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济宁仲裁委受理通知书  编号：济仲金案字（2018）第56号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济宁市兖州曲人民法院民事裁定书  编号：（2018）鲁0812财保63号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济宁市兖州曲人民法院民事裁定书  编号：（2018）鲁0812财保63号之一</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济宁市兖州曲人民法院民事裁定书  编号：（2018）鲁0812财保63号之二</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济宁仲裁委裁决书  编号：济仲金案字（2018）第56号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土地他项权利证明书  编号：兖他项（2015）第0106号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齐鲁工程装备有限公司</w:t>
            </w:r>
          </w:p>
        </w:tc>
        <w:tc>
          <w:tcPr>
            <w:tcW w:w="44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土地他项权利证明书  编号：兖他项（2015）第0106号</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pStyle w:val="30"/>
        <w:ind w:left="360" w:firstLine="0" w:firstLineChars="0"/>
        <w:rPr>
          <w:rFonts w:ascii="仿宋_GB2312" w:eastAsia="仿宋_GB2312" w:cs="仿宋_GB2312"/>
          <w:bCs/>
          <w:kern w:val="44"/>
          <w:sz w:val="24"/>
        </w:rPr>
      </w:pPr>
    </w:p>
    <w:p>
      <w:pPr>
        <w:rPr>
          <w:rFonts w:ascii="仿宋_GB2312" w:eastAsia="仿宋_GB2312"/>
        </w:rPr>
      </w:pPr>
      <w:r>
        <w:rPr>
          <w:rFonts w:hint="eastAsia" w:ascii="仿宋_GB2312" w:eastAsia="仿宋_GB2312"/>
        </w:rPr>
        <w:t>注：1、同一名称项下存在多份资产文件且部分为复印件的，应在备注中单独说明复印件的名称和数量；</w:t>
      </w:r>
    </w:p>
    <w:p>
      <w:pPr>
        <w:spacing w:line="360" w:lineRule="auto"/>
        <w:ind w:firstLine="420"/>
        <w:rPr>
          <w:rFonts w:eastAsia="仿宋_GB2312"/>
        </w:rPr>
      </w:pPr>
      <w:r>
        <w:rPr>
          <w:rFonts w:hint="eastAsia" w:ascii="仿宋_GB2312" w:eastAsia="仿宋_GB2312"/>
        </w:rPr>
        <w:t>2、甲方于基准日实际持有的超出本清单范围的材料（如有），可在交割日一并交付给乙方，但该等交付不构成甲方在本协议项下的义务。</w:t>
      </w:r>
    </w:p>
    <w:p>
      <w:pPr>
        <w:spacing w:line="360" w:lineRule="auto"/>
        <w:ind w:firstLine="420"/>
        <w:rPr>
          <w:rFonts w:ascii="楷体" w:hAnsi="楷体" w:eastAsia="楷体"/>
          <w:b/>
          <w:szCs w:val="21"/>
        </w:rPr>
      </w:pPr>
      <w:r>
        <w:rPr>
          <w:rFonts w:hint="eastAsia" w:ascii="楷体" w:hAnsi="楷体" w:eastAsia="楷体"/>
          <w:b/>
          <w:szCs w:val="21"/>
        </w:rPr>
        <w:t>乙方已仔细阅读了本清单上所载的所有文件，已完全了解并知悉本清单上所有文件的内容，并已知悉标的债权及担保情况及瑕疵，已完全了解并知悉标的债权可能不能清偿或不能完全清偿的瑕疵，乙方自行承担相应风险，并自愿放弃因债权瑕疵或抵押物瑕疵向甲方提起诉讼或要求甲方回购该等债权或要求甲方承担赔偿责任的权利，特此确认。</w:t>
      </w:r>
    </w:p>
    <w:p>
      <w:pPr>
        <w:spacing w:line="360" w:lineRule="auto"/>
        <w:outlineLvl w:val="0"/>
        <w:rPr>
          <w:rFonts w:ascii="楷体" w:hAnsi="楷体" w:eastAsia="楷体"/>
          <w:b/>
          <w:szCs w:val="21"/>
        </w:rPr>
      </w:pPr>
      <w:r>
        <w:rPr>
          <w:rFonts w:ascii="楷体" w:hAnsi="楷体" w:eastAsia="楷体"/>
          <w:b/>
          <w:szCs w:val="21"/>
        </w:rPr>
        <w:t>甲方：中国长城资产管理</w:t>
      </w:r>
      <w:r>
        <w:rPr>
          <w:rFonts w:hint="eastAsia" w:ascii="楷体" w:hAnsi="楷体" w:eastAsia="楷体"/>
          <w:b/>
          <w:szCs w:val="21"/>
        </w:rPr>
        <w:t>股份有限</w:t>
      </w:r>
      <w:r>
        <w:rPr>
          <w:rFonts w:ascii="楷体" w:hAnsi="楷体" w:eastAsia="楷体"/>
          <w:b/>
          <w:szCs w:val="21"/>
        </w:rPr>
        <w:t>公司</w:t>
      </w:r>
      <w:r>
        <w:rPr>
          <w:rFonts w:hint="eastAsia" w:ascii="楷体" w:hAnsi="楷体" w:eastAsia="楷体"/>
          <w:b/>
          <w:szCs w:val="21"/>
          <w:u w:val="single"/>
        </w:rPr>
        <w:t>山东省分公司</w:t>
      </w:r>
      <w:r>
        <w:rPr>
          <w:rFonts w:ascii="楷体" w:hAnsi="楷体" w:eastAsia="楷体"/>
          <w:b/>
          <w:szCs w:val="21"/>
        </w:rPr>
        <w:t>（盖章）</w:t>
      </w:r>
    </w:p>
    <w:p>
      <w:pPr>
        <w:pStyle w:val="7"/>
        <w:tabs>
          <w:tab w:val="left" w:pos="980"/>
        </w:tabs>
        <w:spacing w:after="0" w:line="360" w:lineRule="auto"/>
        <w:ind w:left="0" w:leftChars="0"/>
        <w:rPr>
          <w:rFonts w:ascii="楷体" w:hAnsi="楷体" w:eastAsia="楷体"/>
          <w:b/>
          <w:szCs w:val="21"/>
        </w:rPr>
      </w:pPr>
    </w:p>
    <w:p>
      <w:pPr>
        <w:pStyle w:val="7"/>
        <w:tabs>
          <w:tab w:val="left" w:pos="980"/>
        </w:tabs>
        <w:spacing w:after="0" w:line="360" w:lineRule="auto"/>
        <w:ind w:left="0" w:leftChars="0"/>
        <w:rPr>
          <w:rFonts w:ascii="楷体" w:hAnsi="楷体" w:eastAsia="楷体"/>
          <w:b/>
          <w:szCs w:val="21"/>
        </w:rPr>
      </w:pPr>
      <w:r>
        <w:rPr>
          <w:rFonts w:hint="eastAsia" w:ascii="楷体" w:hAnsi="楷体" w:eastAsia="楷体"/>
          <w:b/>
          <w:szCs w:val="21"/>
        </w:rPr>
        <w:t>负责</w:t>
      </w:r>
      <w:r>
        <w:rPr>
          <w:rFonts w:ascii="楷体" w:hAnsi="楷体" w:eastAsia="楷体"/>
          <w:b/>
          <w:szCs w:val="21"/>
        </w:rPr>
        <w:t>人或授权代表（签字）：</w:t>
      </w:r>
      <w:r>
        <w:rPr>
          <w:rFonts w:ascii="楷体" w:hAnsi="楷体" w:eastAsia="楷体"/>
          <w:b/>
          <w:szCs w:val="21"/>
          <w:u w:val="single"/>
        </w:rPr>
        <w:t xml:space="preserve">                        </w:t>
      </w:r>
    </w:p>
    <w:p>
      <w:pPr>
        <w:pStyle w:val="7"/>
        <w:tabs>
          <w:tab w:val="left" w:pos="980"/>
        </w:tabs>
        <w:spacing w:after="0" w:line="360" w:lineRule="auto"/>
        <w:rPr>
          <w:rFonts w:ascii="楷体" w:hAnsi="楷体" w:eastAsia="楷体"/>
          <w:b/>
          <w:szCs w:val="21"/>
        </w:rPr>
      </w:pPr>
    </w:p>
    <w:p>
      <w:pPr>
        <w:pStyle w:val="7"/>
        <w:tabs>
          <w:tab w:val="left" w:pos="980"/>
        </w:tabs>
        <w:spacing w:after="0" w:line="360" w:lineRule="auto"/>
        <w:ind w:left="0" w:leftChars="0"/>
        <w:rPr>
          <w:rFonts w:ascii="楷体" w:hAnsi="楷体" w:eastAsia="楷体"/>
          <w:b/>
          <w:szCs w:val="21"/>
        </w:rPr>
      </w:pPr>
      <w:r>
        <w:rPr>
          <w:rFonts w:ascii="楷体" w:hAnsi="楷体" w:eastAsia="楷体"/>
          <w:b/>
          <w:szCs w:val="21"/>
        </w:rPr>
        <w:t>乙方：</w:t>
      </w:r>
      <w:r>
        <w:rPr>
          <w:rFonts w:hint="eastAsia" w:ascii="楷体" w:hAnsi="楷体" w:eastAsia="楷体"/>
          <w:b/>
          <w:szCs w:val="21"/>
        </w:rPr>
        <w:t>光彩银星拍卖有限公司</w:t>
      </w:r>
      <w:r>
        <w:rPr>
          <w:rFonts w:ascii="楷体" w:hAnsi="楷体" w:eastAsia="楷体"/>
          <w:b/>
          <w:szCs w:val="21"/>
        </w:rPr>
        <w:t>（盖章）</w:t>
      </w:r>
    </w:p>
    <w:p>
      <w:pPr>
        <w:spacing w:line="360" w:lineRule="auto"/>
        <w:rPr>
          <w:rFonts w:ascii="楷体" w:hAnsi="楷体" w:eastAsia="楷体"/>
          <w:b/>
          <w:szCs w:val="21"/>
        </w:rPr>
      </w:pPr>
    </w:p>
    <w:p>
      <w:pPr>
        <w:spacing w:line="360" w:lineRule="auto"/>
        <w:rPr>
          <w:rFonts w:ascii="楷体" w:hAnsi="楷体" w:eastAsia="楷体"/>
          <w:szCs w:val="21"/>
        </w:rPr>
      </w:pPr>
      <w:r>
        <w:rPr>
          <w:rFonts w:ascii="楷体" w:hAnsi="楷体" w:eastAsia="楷体"/>
          <w:b/>
          <w:szCs w:val="21"/>
        </w:rPr>
        <w:t>法定代表人或授权代表（签字）：</w:t>
      </w:r>
      <w:r>
        <w:rPr>
          <w:rFonts w:ascii="楷体" w:hAnsi="楷体" w:eastAsia="楷体"/>
          <w:b/>
          <w:szCs w:val="21"/>
          <w:u w:val="single"/>
        </w:rPr>
        <w:t xml:space="preserve">                        </w:t>
      </w:r>
    </w:p>
    <w:p>
      <w:pPr>
        <w:spacing w:line="360" w:lineRule="auto"/>
        <w:jc w:val="center"/>
        <w:rPr>
          <w:rFonts w:ascii="楷体" w:hAnsi="楷体" w:eastAsia="楷体"/>
          <w:b/>
          <w:szCs w:val="21"/>
        </w:rPr>
      </w:pPr>
    </w:p>
    <w:p>
      <w:pPr>
        <w:spacing w:line="360" w:lineRule="auto"/>
        <w:jc w:val="center"/>
        <w:rPr>
          <w:rFonts w:ascii="楷体" w:hAnsi="楷体" w:eastAsia="楷体"/>
          <w:b/>
          <w:szCs w:val="21"/>
        </w:rPr>
      </w:pPr>
      <w:r>
        <w:rPr>
          <w:rFonts w:ascii="楷体" w:hAnsi="楷体" w:eastAsia="楷体"/>
          <w:b/>
          <w:szCs w:val="21"/>
        </w:rPr>
        <w:t xml:space="preserve">                            年    月    日</w:t>
      </w:r>
    </w:p>
    <w:p>
      <w:pPr>
        <w:spacing w:line="360" w:lineRule="auto"/>
        <w:jc w:val="center"/>
        <w:rPr>
          <w:rFonts w:ascii="楷体" w:hAnsi="楷体" w:eastAsia="楷体"/>
          <w:b/>
          <w:szCs w:val="21"/>
        </w:rPr>
      </w:pPr>
    </w:p>
    <w:p>
      <w:pPr>
        <w:spacing w:line="360" w:lineRule="auto"/>
        <w:jc w:val="center"/>
        <w:rPr>
          <w:rFonts w:ascii="楷体" w:hAnsi="楷体" w:eastAsia="楷体"/>
          <w:b/>
          <w:szCs w:val="21"/>
        </w:rPr>
      </w:pPr>
    </w:p>
    <w:p>
      <w:pPr>
        <w:spacing w:line="360" w:lineRule="auto"/>
        <w:jc w:val="center"/>
        <w:rPr>
          <w:rFonts w:ascii="楷体" w:hAnsi="楷体" w:eastAsia="楷体"/>
          <w:b/>
          <w:szCs w:val="21"/>
        </w:rPr>
      </w:pPr>
    </w:p>
    <w:p>
      <w:pPr>
        <w:spacing w:line="360" w:lineRule="auto"/>
        <w:jc w:val="center"/>
        <w:rPr>
          <w:rFonts w:ascii="楷体" w:hAnsi="楷体" w:eastAsia="楷体"/>
          <w:b/>
          <w:szCs w:val="21"/>
        </w:rPr>
      </w:pPr>
    </w:p>
    <w:p>
      <w:pPr>
        <w:spacing w:line="360" w:lineRule="auto"/>
        <w:jc w:val="center"/>
        <w:rPr>
          <w:rFonts w:ascii="楷体" w:hAnsi="楷体" w:eastAsia="楷体"/>
          <w:b/>
          <w:szCs w:val="21"/>
        </w:rPr>
      </w:pPr>
      <w:r>
        <w:rPr>
          <w:rFonts w:ascii="楷体" w:hAnsi="楷体" w:eastAsia="楷体"/>
          <w:b/>
          <w:szCs w:val="21"/>
        </w:rPr>
        <w:br w:type="page"/>
      </w:r>
    </w:p>
    <w:p>
      <w:pPr>
        <w:spacing w:line="360" w:lineRule="auto"/>
        <w:jc w:val="center"/>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pStyle w:val="7"/>
        <w:tabs>
          <w:tab w:val="left" w:pos="980"/>
        </w:tabs>
        <w:spacing w:after="0" w:line="360" w:lineRule="auto"/>
        <w:ind w:left="0" w:leftChars="0"/>
        <w:rPr>
          <w:rFonts w:ascii="楷体" w:hAnsi="楷体" w:eastAsia="楷体"/>
          <w:b/>
          <w:sz w:val="24"/>
          <w:u w:val="single"/>
        </w:rPr>
      </w:pP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 </w:t>
      </w:r>
      <w:r>
        <w:rPr>
          <w:rFonts w:hint="eastAsia" w:ascii="楷体" w:hAnsi="楷体" w:eastAsia="楷体"/>
          <w:sz w:val="24"/>
        </w:rPr>
        <w:t>委托人已充分告知，其委托拍卖人拍卖的标的债权，存在或可能存在下列瑕疵或风险，且因委托人并非贷款债权的原始权利人，委托人无法对其承继的、由任何第三方制作的贷款债权证明文件的真实性、有效性、准确性和完整性提供保证，以至于买受人受让作为拍卖标的的贷款债权的预期利益可能无法实现。该等瑕疵或风险包括但不限于下列一项或多项：</w:t>
      </w:r>
    </w:p>
    <w:p>
      <w:pPr>
        <w:snapToGrid w:val="0"/>
        <w:spacing w:line="360" w:lineRule="auto"/>
        <w:ind w:right="-87" w:firstLine="480" w:firstLineChars="200"/>
        <w:rPr>
          <w:rFonts w:ascii="楷体" w:hAnsi="楷体" w:eastAsia="楷体"/>
          <w:sz w:val="24"/>
        </w:rPr>
      </w:pPr>
      <w:r>
        <w:rPr>
          <w:rFonts w:ascii="楷体" w:hAnsi="楷体" w:eastAsia="楷体"/>
          <w:sz w:val="24"/>
        </w:rPr>
        <w:t>1.1贷款债权系不良资产，存在着部分或全部不能回收的风险特性以及清收的困难性；</w:t>
      </w: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1.2 </w:t>
      </w:r>
      <w:r>
        <w:rPr>
          <w:rFonts w:hint="eastAsia" w:ascii="楷体" w:hAnsi="楷体" w:eastAsia="楷体"/>
          <w:sz w:val="24"/>
        </w:rPr>
        <w:t>由于可能存在的计算误差或其他原因，受让人实际接收的贷款债权金额与《贷款债权明细表》载明的金额可能不完全一致；基于有关司法政策文件，买受人受让贷款债权后向债务人或担保人所能主张并获得司法支持的利息可能与《贷款债权明细表》中所列明的利息不完全一致；</w:t>
      </w: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1.3 </w:t>
      </w:r>
      <w:r>
        <w:rPr>
          <w:rFonts w:hint="eastAsia" w:ascii="楷体" w:hAnsi="楷体" w:eastAsia="楷体"/>
          <w:sz w:val="24"/>
        </w:rPr>
        <w:t>贷款债权项下借款人、担保人或其他责任主体可能存在破产、被吊销、被注销、被撤销、解散、关闭、歇业、停业、下落不明、无法查询到相关信息以及其他主体存续性瑕疵的情形；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1.4 </w:t>
      </w:r>
      <w:r>
        <w:rPr>
          <w:rFonts w:hint="eastAsia" w:ascii="楷体" w:hAnsi="楷体" w:eastAsia="楷体"/>
          <w:sz w:val="24"/>
        </w:rPr>
        <w:t>贷款债权可能已超过诉讼、执行时效、法定或约定时效或丧失其他相关的期间利益或因其他原因已部分或全部丧失；</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1.5 </w:t>
      </w:r>
      <w:r>
        <w:rPr>
          <w:rFonts w:hint="eastAsia" w:ascii="楷体" w:hAnsi="楷体" w:eastAsia="楷体"/>
          <w:sz w:val="24"/>
        </w:rPr>
        <w:t>贷款债权项下担保权利可能未生效、无效、消灭或已过诉讼时效等情形；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1.6 </w:t>
      </w:r>
      <w:r>
        <w:rPr>
          <w:rFonts w:hint="eastAsia" w:ascii="楷体" w:hAnsi="楷体" w:eastAsia="楷体"/>
          <w:sz w:val="24"/>
        </w:rPr>
        <w:t>贷款债权权属文件可能存在缺失（不限于原件）、内容冲突、不真实等相关情形；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1.7涉诉贷款债权可能存在全部或部分败诉、不能变更诉讼（含执行）主体、相关诉讼、执行费用未付等情形，涉诉贷款债权可能在交割前已诉讼终结、执行终结或破产终结；</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1.8 </w:t>
      </w:r>
      <w:r>
        <w:rPr>
          <w:rFonts w:hint="eastAsia" w:ascii="楷体" w:hAnsi="楷体" w:eastAsia="楷体"/>
          <w:sz w:val="24"/>
        </w:rPr>
        <w:t>贷款债权事实上可能已经全部灭失或部分灭失，存在无法向原主从债务人进行追偿的可能性；</w:t>
      </w:r>
    </w:p>
    <w:p>
      <w:pPr>
        <w:tabs>
          <w:tab w:val="left" w:pos="992"/>
        </w:tabs>
        <w:snapToGrid w:val="0"/>
        <w:spacing w:line="360" w:lineRule="auto"/>
        <w:ind w:right="-87" w:firstLine="480" w:firstLineChars="200"/>
        <w:rPr>
          <w:rFonts w:ascii="楷体" w:hAnsi="楷体" w:eastAsia="楷体"/>
          <w:sz w:val="24"/>
        </w:rPr>
      </w:pPr>
      <w:r>
        <w:rPr>
          <w:rFonts w:ascii="楷体" w:hAnsi="楷体" w:eastAsia="楷体"/>
          <w:sz w:val="24"/>
        </w:rPr>
        <w:t>1.9买受人受让贷款债权后，对该贷款债权在交割日后的利息或罚息请求权，买受人可能无法继续享有；</w:t>
      </w:r>
    </w:p>
    <w:p>
      <w:pPr>
        <w:snapToGrid w:val="0"/>
        <w:spacing w:line="360" w:lineRule="auto"/>
        <w:ind w:firstLine="470" w:firstLineChars="196"/>
        <w:rPr>
          <w:rFonts w:ascii="楷体" w:hAnsi="楷体" w:eastAsia="楷体"/>
          <w:sz w:val="24"/>
        </w:rPr>
      </w:pPr>
      <w:r>
        <w:rPr>
          <w:rFonts w:ascii="楷体" w:hAnsi="楷体" w:eastAsia="楷体"/>
          <w:sz w:val="24"/>
        </w:rPr>
        <w:t>1.10买受人受让贷款债权后，可能无法享有委托人所享有的国家法律政策规定的各项优惠条件和特殊保护，包括但不限于税收和诉讼方面的优惠和特殊保护；</w:t>
      </w:r>
    </w:p>
    <w:p>
      <w:pPr>
        <w:snapToGrid w:val="0"/>
        <w:spacing w:line="360" w:lineRule="auto"/>
        <w:ind w:firstLine="470" w:firstLineChars="196"/>
        <w:rPr>
          <w:rFonts w:ascii="楷体" w:hAnsi="楷体" w:eastAsia="楷体"/>
          <w:sz w:val="24"/>
        </w:rPr>
      </w:pPr>
      <w:r>
        <w:rPr>
          <w:rFonts w:ascii="楷体" w:hAnsi="楷体" w:eastAsia="楷体"/>
          <w:sz w:val="24"/>
        </w:rPr>
        <w:t>1.1</w:t>
      </w:r>
      <w:r>
        <w:rPr>
          <w:rFonts w:hint="eastAsia" w:ascii="楷体" w:hAnsi="楷体" w:eastAsia="楷体"/>
          <w:sz w:val="24"/>
        </w:rPr>
        <w:t>1借款人或担保人可能已停产或半停产，涉嫌民间集资、对外负债或担保较多，借款人及其实际控制人可能存在涉嫌刑事案件，以及难以联系到借款人的实际控制人等情形；</w:t>
      </w:r>
    </w:p>
    <w:p>
      <w:pPr>
        <w:snapToGrid w:val="0"/>
        <w:spacing w:line="360" w:lineRule="auto"/>
        <w:ind w:firstLine="470" w:firstLineChars="196"/>
        <w:rPr>
          <w:rFonts w:ascii="楷体" w:hAnsi="楷体" w:eastAsia="楷体"/>
          <w:sz w:val="24"/>
        </w:rPr>
      </w:pPr>
      <w:r>
        <w:rPr>
          <w:rFonts w:hint="eastAsia" w:ascii="楷体" w:hAnsi="楷体" w:eastAsia="楷体"/>
          <w:sz w:val="24"/>
        </w:rPr>
        <w:t>1.12 齐鲁特钢、齐鲁工装债权主债务人及保证人山东兖州合金钢股份有限公司已被裁定合并破产重整且已进入重整执行阶段；</w:t>
      </w:r>
    </w:p>
    <w:p>
      <w:pPr>
        <w:snapToGrid w:val="0"/>
        <w:spacing w:line="360" w:lineRule="auto"/>
        <w:ind w:firstLine="470" w:firstLineChars="196"/>
        <w:rPr>
          <w:rFonts w:ascii="楷体" w:hAnsi="楷体" w:eastAsia="楷体"/>
          <w:sz w:val="24"/>
        </w:rPr>
      </w:pPr>
      <w:r>
        <w:rPr>
          <w:rFonts w:hint="eastAsia" w:ascii="楷体" w:hAnsi="楷体" w:eastAsia="楷体"/>
          <w:sz w:val="24"/>
        </w:rPr>
        <w:t>1.13 保证人山东洪达化工有限公司、山东东巨化工股份有限公司、山东东药药业股份有限公司已完成破产重整，甲方已受偿破产款项，受偿款项不在转让范围内；</w:t>
      </w:r>
    </w:p>
    <w:p>
      <w:pPr>
        <w:snapToGrid w:val="0"/>
        <w:spacing w:line="360" w:lineRule="auto"/>
        <w:ind w:firstLine="470" w:firstLineChars="196"/>
        <w:rPr>
          <w:rFonts w:ascii="楷体" w:hAnsi="楷体" w:eastAsia="楷体"/>
          <w:sz w:val="24"/>
        </w:rPr>
      </w:pPr>
      <w:r>
        <w:rPr>
          <w:rFonts w:hint="eastAsia" w:ascii="楷体" w:hAnsi="楷体" w:eastAsia="楷体"/>
          <w:sz w:val="24"/>
        </w:rPr>
        <w:t>1.14 齐鲁特钢有限公司债权，济宁仲裁委员会作出了济仲金裁字（2018）第55号裁决书，裁决未支持保证人王大军、牛大伟对其中1笔本金4916.9万元及项下权益承担保证责任，未支持王峰、王春兰对该户债权承担保证责任，存在保证责任灭失的风险。</w:t>
      </w:r>
    </w:p>
    <w:p>
      <w:pPr>
        <w:snapToGrid w:val="0"/>
        <w:spacing w:line="360" w:lineRule="auto"/>
        <w:ind w:firstLine="470" w:firstLineChars="196"/>
        <w:rPr>
          <w:rFonts w:ascii="楷体" w:hAnsi="楷体" w:eastAsia="楷体"/>
          <w:sz w:val="24"/>
        </w:rPr>
      </w:pPr>
      <w:r>
        <w:rPr>
          <w:rFonts w:hint="eastAsia" w:ascii="楷体" w:hAnsi="楷体" w:eastAsia="楷体"/>
          <w:sz w:val="24"/>
        </w:rPr>
        <w:t>1.15 抵押设备存在损毁灭失的风险；</w:t>
      </w:r>
    </w:p>
    <w:p>
      <w:pPr>
        <w:snapToGrid w:val="0"/>
        <w:spacing w:line="360" w:lineRule="auto"/>
        <w:ind w:firstLine="470" w:firstLineChars="196"/>
        <w:rPr>
          <w:rFonts w:ascii="楷体" w:hAnsi="楷体" w:eastAsia="楷体"/>
          <w:sz w:val="24"/>
        </w:rPr>
      </w:pPr>
      <w:r>
        <w:rPr>
          <w:rFonts w:hint="eastAsia" w:ascii="楷体" w:hAnsi="楷体" w:eastAsia="楷体"/>
          <w:sz w:val="24"/>
        </w:rPr>
        <w:t>1.16 齐鲁特钢、齐鲁工装债权均已被裁定终本执行；</w:t>
      </w:r>
    </w:p>
    <w:p>
      <w:pPr>
        <w:snapToGrid w:val="0"/>
        <w:spacing w:line="360" w:lineRule="auto"/>
        <w:ind w:firstLine="470" w:firstLineChars="196"/>
        <w:rPr>
          <w:rFonts w:ascii="楷体" w:hAnsi="楷体" w:eastAsia="楷体"/>
          <w:sz w:val="24"/>
        </w:rPr>
      </w:pPr>
      <w:r>
        <w:rPr>
          <w:rFonts w:hint="eastAsia" w:ascii="楷体" w:hAnsi="楷体" w:eastAsia="楷体"/>
          <w:sz w:val="24"/>
        </w:rPr>
        <w:t>1.17 齐鲁特钢有限公司债权抵押物系第二顺位抵押。</w:t>
      </w:r>
    </w:p>
    <w:p>
      <w:pPr>
        <w:snapToGrid w:val="0"/>
        <w:spacing w:line="360" w:lineRule="auto"/>
        <w:ind w:firstLine="480"/>
        <w:rPr>
          <w:rFonts w:ascii="楷体" w:hAnsi="楷体" w:eastAsia="楷体"/>
          <w:sz w:val="24"/>
        </w:rPr>
      </w:pPr>
      <w:r>
        <w:rPr>
          <w:rFonts w:ascii="楷体" w:hAnsi="楷体" w:eastAsia="楷体"/>
          <w:sz w:val="24"/>
        </w:rPr>
        <w:t>委托人对于上述瑕疵或风险不发表任何判断性结论，由买受人自行作出判断，委托人及前手债权人不承担任何责任。</w:t>
      </w:r>
    </w:p>
    <w:p>
      <w:pPr>
        <w:spacing w:line="360" w:lineRule="auto"/>
        <w:ind w:firstLine="480" w:firstLineChars="200"/>
        <w:rPr>
          <w:rFonts w:ascii="楷体" w:hAnsi="楷体" w:eastAsia="楷体"/>
          <w:sz w:val="24"/>
        </w:rPr>
      </w:pPr>
      <w:r>
        <w:rPr>
          <w:rFonts w:ascii="楷体" w:hAnsi="楷体" w:eastAsia="楷体"/>
          <w:sz w:val="24"/>
        </w:rPr>
        <w:t xml:space="preserve">2、 </w:t>
      </w:r>
      <w:r>
        <w:rPr>
          <w:rFonts w:hint="eastAsia" w:ascii="楷体" w:hAnsi="楷体" w:eastAsia="楷体"/>
          <w:sz w:val="24"/>
        </w:rPr>
        <w:t>拍卖人应将第</w:t>
      </w:r>
      <w:r>
        <w:rPr>
          <w:rFonts w:ascii="楷体" w:hAnsi="楷体" w:eastAsia="楷体"/>
          <w:sz w:val="24"/>
        </w:rPr>
        <w:t>1条所述的瑕疵与风险记载于其对竞买人披露的竞买须知之中，连同拍卖规则、竞买须知、《债权转让协议》及其他文件一并向竞买人进行公示，告知竞买人仔细审阅，并在确认完整、全面地理解全部上述内容后参加竞买。买受人一经应价，即证明买受人已完整、全面地理解全部上述内容，并充分认知受让拍卖债权可能遭受的一切风险，受让人自愿承担由上述风险造成的一切损失以及不能获得相应预期利益的后果。</w:t>
      </w:r>
    </w:p>
    <w:p>
      <w:pPr>
        <w:spacing w:line="360" w:lineRule="auto"/>
        <w:ind w:firstLine="480" w:firstLineChars="200"/>
        <w:rPr>
          <w:rFonts w:ascii="楷体" w:hAnsi="楷体" w:eastAsia="楷体"/>
          <w:sz w:val="24"/>
        </w:rPr>
      </w:pPr>
      <w:r>
        <w:rPr>
          <w:rFonts w:ascii="楷体" w:hAnsi="楷体" w:eastAsia="楷体"/>
          <w:sz w:val="24"/>
        </w:rPr>
        <w:t>3、拍卖人确认在本协议签署之前，在签署《保密承诺函》的基础上，委托人已经向拍卖人充分展示了拍卖标的涉及的相关权属文件，由于档案管理的需要委托人不便向竞买人展示原件。因此仅向拍卖人展示原件，并由拍卖人确认复印件与原件一致无误后将相应复印件交拍卖人持有，由拍卖人向竞买人展示与原件一致的复印件，拍卖人已经充分知悉拍卖标的的来源、瑕疵和风险。除本附件说明的瑕疵及风险外，其余尚有的潜在瑕疵及风险由拍卖人及竞买人根据债权相关文件及尽职调查自行判断。</w:t>
      </w:r>
    </w:p>
    <w:p>
      <w:pPr>
        <w:spacing w:line="360" w:lineRule="auto"/>
        <w:ind w:firstLine="480" w:firstLineChars="200"/>
        <w:rPr>
          <w:rFonts w:ascii="楷体" w:hAnsi="楷体" w:eastAsia="楷体"/>
          <w:b/>
          <w:sz w:val="24"/>
          <w:u w:val="single"/>
        </w:rPr>
      </w:pPr>
      <w:r>
        <w:rPr>
          <w:rFonts w:ascii="楷体" w:hAnsi="楷体" w:eastAsia="楷体"/>
          <w:sz w:val="24"/>
        </w:rPr>
        <w:t>4、委托人与拍卖人双方签署《委托拍卖协议》，即视为委托人已经就拍卖标的的来源、瑕疵和风险向拍卖人完成了充分的披露和说明，委托人不再就拍卖标的的来源、瑕疵和风险的披露和说明承担任何责任。</w:t>
      </w:r>
      <w:r>
        <w:rPr>
          <w:rFonts w:ascii="楷体" w:hAnsi="楷体" w:eastAsia="楷体"/>
          <w:b/>
          <w:sz w:val="24"/>
          <w:u w:val="single"/>
        </w:rPr>
        <w:br w:type="page"/>
      </w:r>
    </w:p>
    <w:p>
      <w:pPr>
        <w:pStyle w:val="7"/>
        <w:tabs>
          <w:tab w:val="left" w:pos="540"/>
        </w:tabs>
        <w:spacing w:after="0" w:line="360" w:lineRule="auto"/>
        <w:ind w:left="0" w:leftChars="0"/>
        <w:rPr>
          <w:rFonts w:ascii="楷体" w:hAnsi="楷体" w:eastAsia="楷体"/>
          <w:b/>
          <w:sz w:val="24"/>
        </w:rPr>
      </w:pPr>
    </w:p>
    <w:p>
      <w:pPr>
        <w:spacing w:line="360" w:lineRule="auto"/>
        <w:jc w:val="center"/>
        <w:rPr>
          <w:rFonts w:ascii="楷体" w:hAnsi="楷体" w:eastAsia="楷体"/>
          <w:b/>
          <w:sz w:val="24"/>
        </w:rPr>
      </w:pPr>
      <w:r>
        <w:rPr>
          <w:rFonts w:hint="eastAsia" w:ascii="楷体" w:hAnsi="楷体" w:eastAsia="楷体"/>
          <w:b/>
          <w:sz w:val="24"/>
        </w:rPr>
        <w:t>附件六：保密承诺函</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rPr>
          <w:rFonts w:ascii="楷体" w:hAnsi="楷体" w:eastAsia="楷体"/>
          <w:sz w:val="24"/>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ascii="楷体" w:hAnsi="楷体" w:eastAsia="楷体"/>
          <w:sz w:val="24"/>
        </w:rPr>
        <w:t>:</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/我单位拟参加贵公司拟</w:t>
      </w:r>
      <w:r>
        <w:rPr>
          <w:rFonts w:hint="eastAsia" w:ascii="楷体" w:hAnsi="楷体" w:eastAsia="楷体"/>
          <w:sz w:val="24"/>
        </w:rPr>
        <w:t>于</w:t>
      </w:r>
      <w:r>
        <w:rPr>
          <w:rFonts w:ascii="楷体" w:hAnsi="楷体" w:eastAsia="楷体"/>
          <w:sz w:val="24"/>
          <w:u w:val="single"/>
        </w:rPr>
        <w:t>20</w:t>
      </w:r>
      <w:r>
        <w:rPr>
          <w:rFonts w:hint="eastAsia" w:ascii="楷体" w:hAnsi="楷体" w:eastAsia="楷体"/>
          <w:sz w:val="24"/>
          <w:u w:val="single"/>
        </w:rPr>
        <w:t>21</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u w:val="single"/>
          <w:lang w:val="en-US" w:eastAsia="zh-CN"/>
        </w:rPr>
        <w:t>2</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u w:val="single"/>
          <w:lang w:val="en-US" w:eastAsia="zh-CN"/>
        </w:rPr>
        <w:t>20</w:t>
      </w:r>
      <w:r>
        <w:rPr>
          <w:rFonts w:hint="eastAsia" w:ascii="楷体" w:hAnsi="楷体" w:eastAsia="楷体"/>
          <w:sz w:val="24"/>
        </w:rPr>
        <w:t>日由</w:t>
      </w:r>
      <w:r>
        <w:rPr>
          <w:rFonts w:ascii="楷体" w:hAnsi="楷体" w:eastAsia="楷体"/>
          <w:sz w:val="24"/>
          <w:u w:val="single"/>
        </w:rPr>
        <w:t xml:space="preserve"> </w:t>
      </w:r>
      <w:r>
        <w:rPr>
          <w:rFonts w:hint="eastAsia" w:ascii="楷体" w:hAnsi="楷体" w:eastAsia="楷体"/>
          <w:sz w:val="24"/>
          <w:u w:val="single"/>
        </w:rPr>
        <w:t>光彩银星拍卖有限公司</w:t>
      </w:r>
      <w:r>
        <w:rPr>
          <w:rFonts w:hint="eastAsia" w:ascii="楷体" w:hAnsi="楷体" w:eastAsia="楷体"/>
          <w:sz w:val="24"/>
        </w:rPr>
        <w:t>拍卖行举行的关于</w:t>
      </w:r>
      <w:r>
        <w:rPr>
          <w:rFonts w:hint="eastAsia" w:ascii="楷体" w:hAnsi="楷体" w:eastAsia="楷体"/>
          <w:sz w:val="24"/>
          <w:u w:val="single"/>
        </w:rPr>
        <w:t>齐鲁特钢有限公司、齐鲁工程装备有限公司</w:t>
      </w:r>
      <w:r>
        <w:rPr>
          <w:rFonts w:hint="eastAsia" w:ascii="楷体" w:hAnsi="楷体" w:eastAsia="楷体"/>
          <w:sz w:val="24"/>
        </w:rPr>
        <w:t>债权拍卖标的的竞买，为做好竞买报价的前期调查，我</w:t>
      </w:r>
      <w:r>
        <w:rPr>
          <w:rFonts w:ascii="楷体" w:hAnsi="楷体" w:eastAsia="楷体"/>
          <w:sz w:val="24"/>
        </w:rPr>
        <w:t>/我单位需向拍卖机构查询/复印贵公司关于拍卖标的的有关权属文件，为此，特向贵公司承诺：不论是否最终参与拍卖标的的竞买，亦不论是否最终作为拍卖标的的受让人，我/我单位将严格保守有关秘密，不向任何第三方披露、泄露、散布、传播有关拍卖标的的任何信息，对于因我/我单位及我单位雇员、代理人、受我单位委托的中介机构原因导致任何保密信息泄露的，我/我单位将无条件承担全部责任，赔偿贵公司因此所遭受的一切损失和所发生的一切费用。</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w:t>
      </w:r>
      <w:r>
        <w:rPr>
          <w:rFonts w:hint="eastAsia" w:ascii="楷体" w:hAnsi="楷体" w:eastAsia="楷体"/>
          <w:sz w:val="24"/>
          <w:lang w:val="en-US" w:eastAsia="zh-CN"/>
        </w:rPr>
        <w:t xml:space="preserve">          </w:t>
      </w:r>
      <w:r>
        <w:rPr>
          <w:rFonts w:ascii="楷体" w:hAnsi="楷体" w:eastAsia="楷体"/>
          <w:sz w:val="24"/>
        </w:rPr>
        <w:t xml:space="preserve"> </w:t>
      </w:r>
      <w:r>
        <w:rPr>
          <w:rFonts w:ascii="楷体" w:hAnsi="楷体" w:eastAsia="楷体"/>
          <w:sz w:val="24"/>
          <w:u w:val="none"/>
        </w:rPr>
        <w:t>20</w:t>
      </w:r>
      <w:r>
        <w:rPr>
          <w:rFonts w:hint="eastAsia" w:ascii="楷体" w:hAnsi="楷体" w:eastAsia="楷体"/>
          <w:sz w:val="24"/>
          <w:u w:val="none"/>
        </w:rPr>
        <w:t>21年</w:t>
      </w:r>
      <w:r>
        <w:rPr>
          <w:rFonts w:ascii="楷体" w:hAnsi="楷体" w:eastAsia="楷体"/>
          <w:sz w:val="24"/>
          <w:u w:val="none"/>
        </w:rPr>
        <w:t xml:space="preserve"> </w:t>
      </w:r>
      <w:r>
        <w:rPr>
          <w:rFonts w:hint="eastAsia" w:ascii="楷体" w:hAnsi="楷体" w:eastAsia="楷体"/>
          <w:sz w:val="24"/>
          <w:u w:val="none"/>
          <w:lang w:val="en-US" w:eastAsia="zh-CN"/>
        </w:rPr>
        <w:t>2</w:t>
      </w:r>
      <w:r>
        <w:rPr>
          <w:rFonts w:ascii="楷体" w:hAnsi="楷体" w:eastAsia="楷体"/>
          <w:sz w:val="24"/>
          <w:u w:val="none"/>
        </w:rPr>
        <w:t xml:space="preserve"> </w:t>
      </w:r>
      <w:r>
        <w:rPr>
          <w:rFonts w:hint="eastAsia" w:ascii="楷体" w:hAnsi="楷体" w:eastAsia="楷体"/>
          <w:sz w:val="24"/>
          <w:u w:val="none"/>
        </w:rPr>
        <w:t>月</w:t>
      </w:r>
      <w:r>
        <w:rPr>
          <w:rFonts w:hint="eastAsia" w:ascii="楷体" w:hAnsi="楷体" w:eastAsia="楷体"/>
          <w:sz w:val="24"/>
          <w:u w:val="none"/>
          <w:lang w:val="en-US" w:eastAsia="zh-CN"/>
        </w:rPr>
        <w:t>5</w:t>
      </w:r>
      <w:r>
        <w:rPr>
          <w:rFonts w:hint="eastAsia" w:ascii="楷体" w:hAnsi="楷体" w:eastAsia="楷体"/>
          <w:sz w:val="24"/>
          <w:u w:val="none"/>
        </w:rPr>
        <w:t>日</w:t>
      </w:r>
    </w:p>
    <w:p>
      <w:pPr>
        <w:spacing w:line="360" w:lineRule="auto"/>
        <w:ind w:firstLine="480" w:firstLineChars="200"/>
        <w:rPr>
          <w:rFonts w:ascii="楷体" w:hAnsi="楷体" w:eastAsia="楷体"/>
          <w:sz w:val="24"/>
        </w:rPr>
      </w:pPr>
    </w:p>
    <w:p>
      <w:pPr>
        <w:pStyle w:val="7"/>
        <w:tabs>
          <w:tab w:val="left" w:pos="540"/>
        </w:tabs>
        <w:spacing w:after="0" w:line="360" w:lineRule="auto"/>
        <w:ind w:left="0" w:leftChars="0"/>
        <w:jc w:val="center"/>
        <w:rPr>
          <w:rFonts w:ascii="楷体" w:hAnsi="楷体" w:eastAsia="楷体"/>
          <w:b/>
          <w:sz w:val="24"/>
        </w:rPr>
      </w:pPr>
    </w:p>
    <w:p>
      <w:pPr>
        <w:pStyle w:val="7"/>
        <w:tabs>
          <w:tab w:val="left" w:pos="540"/>
        </w:tabs>
        <w:spacing w:after="0" w:line="360" w:lineRule="auto"/>
        <w:ind w:left="0" w:leftChars="0"/>
        <w:jc w:val="center"/>
        <w:rPr>
          <w:rFonts w:ascii="楷体" w:hAnsi="楷体" w:eastAsia="楷体"/>
          <w:b/>
          <w:sz w:val="24"/>
        </w:rPr>
      </w:pPr>
    </w:p>
    <w:p>
      <w:pPr>
        <w:pStyle w:val="7"/>
        <w:tabs>
          <w:tab w:val="left" w:pos="540"/>
        </w:tabs>
        <w:spacing w:after="0" w:line="360" w:lineRule="auto"/>
        <w:ind w:left="0" w:leftChars="0"/>
        <w:jc w:val="center"/>
        <w:rPr>
          <w:rFonts w:ascii="楷体" w:hAnsi="楷体" w:eastAsia="楷体"/>
          <w:b/>
          <w:sz w:val="24"/>
        </w:rPr>
      </w:pPr>
    </w:p>
    <w:p>
      <w:pPr>
        <w:pStyle w:val="7"/>
        <w:tabs>
          <w:tab w:val="left" w:pos="540"/>
        </w:tabs>
        <w:spacing w:after="0" w:line="360" w:lineRule="auto"/>
        <w:ind w:left="0" w:leftChars="0"/>
        <w:jc w:val="center"/>
        <w:rPr>
          <w:rFonts w:ascii="楷体" w:hAnsi="楷体" w:eastAsia="楷体"/>
          <w:b/>
          <w:sz w:val="24"/>
        </w:rPr>
      </w:pPr>
    </w:p>
    <w:p>
      <w:pPr>
        <w:pStyle w:val="7"/>
        <w:tabs>
          <w:tab w:val="left" w:pos="540"/>
        </w:tabs>
        <w:spacing w:after="0" w:line="360" w:lineRule="auto"/>
        <w:ind w:left="0" w:leftChars="0"/>
        <w:jc w:val="center"/>
        <w:rPr>
          <w:rFonts w:ascii="楷体" w:hAnsi="楷体" w:eastAsia="楷体"/>
          <w:b/>
          <w:sz w:val="24"/>
        </w:rPr>
      </w:pPr>
    </w:p>
    <w:p>
      <w:pPr>
        <w:pStyle w:val="7"/>
        <w:tabs>
          <w:tab w:val="left" w:pos="540"/>
        </w:tabs>
        <w:spacing w:after="0" w:line="360" w:lineRule="auto"/>
        <w:ind w:left="0" w:leftChars="0"/>
        <w:jc w:val="center"/>
        <w:rPr>
          <w:rFonts w:ascii="楷体" w:hAnsi="楷体" w:eastAsia="楷体"/>
          <w:b/>
          <w:sz w:val="24"/>
        </w:rPr>
      </w:pPr>
    </w:p>
    <w:p>
      <w:pPr>
        <w:pStyle w:val="7"/>
        <w:tabs>
          <w:tab w:val="left" w:pos="540"/>
        </w:tabs>
        <w:spacing w:after="0" w:line="360" w:lineRule="auto"/>
        <w:ind w:left="0" w:leftChars="0"/>
        <w:jc w:val="center"/>
        <w:rPr>
          <w:rFonts w:ascii="楷体" w:hAnsi="楷体" w:eastAsia="楷体"/>
          <w:b/>
          <w:sz w:val="24"/>
        </w:rPr>
      </w:pPr>
    </w:p>
    <w:p>
      <w:pPr>
        <w:pStyle w:val="7"/>
        <w:tabs>
          <w:tab w:val="left" w:pos="540"/>
        </w:tabs>
        <w:spacing w:after="0" w:line="360" w:lineRule="auto"/>
        <w:ind w:left="0" w:leftChars="0"/>
        <w:jc w:val="center"/>
        <w:rPr>
          <w:rFonts w:ascii="楷体" w:hAnsi="楷体" w:eastAsia="楷体"/>
          <w:b/>
          <w:sz w:val="24"/>
        </w:rPr>
      </w:pPr>
    </w:p>
    <w:p>
      <w:pPr>
        <w:tabs>
          <w:tab w:val="left" w:pos="8280"/>
        </w:tabs>
        <w:adjustRightInd w:val="0"/>
        <w:snapToGrid w:val="0"/>
        <w:spacing w:line="360" w:lineRule="auto"/>
        <w:ind w:right="-153" w:firstLine="1446" w:firstLineChars="600"/>
        <w:jc w:val="center"/>
        <w:rPr>
          <w:rFonts w:ascii="楷体" w:hAnsi="楷体" w:eastAsia="楷体"/>
          <w:b/>
          <w:sz w:val="24"/>
        </w:rPr>
      </w:pPr>
    </w:p>
    <w:p>
      <w:pPr>
        <w:tabs>
          <w:tab w:val="left" w:pos="8280"/>
        </w:tabs>
        <w:adjustRightInd w:val="0"/>
        <w:snapToGrid w:val="0"/>
        <w:spacing w:line="360" w:lineRule="auto"/>
        <w:ind w:right="-153"/>
        <w:jc w:val="center"/>
        <w:rPr>
          <w:rFonts w:ascii="楷体" w:hAnsi="楷体" w:eastAsia="楷体"/>
          <w:b/>
          <w:sz w:val="24"/>
        </w:rPr>
      </w:pPr>
      <w:bookmarkStart w:id="0" w:name="_GoBack"/>
      <w:bookmarkEnd w:id="0"/>
    </w:p>
    <w:p>
      <w:pPr>
        <w:tabs>
          <w:tab w:val="left" w:pos="8280"/>
        </w:tabs>
        <w:adjustRightInd w:val="0"/>
        <w:snapToGrid w:val="0"/>
        <w:spacing w:line="360" w:lineRule="auto"/>
        <w:ind w:right="-153"/>
        <w:jc w:val="center"/>
        <w:rPr>
          <w:rFonts w:ascii="楷体" w:hAnsi="楷体" w:eastAsia="楷体"/>
          <w:b/>
          <w:sz w:val="24"/>
        </w:rPr>
      </w:pPr>
      <w:r>
        <w:rPr>
          <w:rFonts w:hint="eastAsia" w:ascii="楷体" w:hAnsi="楷体" w:eastAsia="楷体"/>
          <w:b/>
          <w:sz w:val="24"/>
        </w:rPr>
        <w:t>附件七：竞买人参加竞买承诺书</w:t>
      </w:r>
    </w:p>
    <w:p>
      <w:pPr>
        <w:spacing w:line="360" w:lineRule="auto"/>
        <w:ind w:firstLine="480" w:firstLineChars="200"/>
        <w:rPr>
          <w:rFonts w:ascii="楷体" w:hAnsi="楷体" w:eastAsia="楷体"/>
          <w:sz w:val="24"/>
        </w:rPr>
      </w:pPr>
    </w:p>
    <w:p>
      <w:pPr>
        <w:spacing w:line="360" w:lineRule="auto"/>
        <w:rPr>
          <w:rFonts w:ascii="楷体" w:hAnsi="楷体" w:eastAsia="楷体"/>
          <w:sz w:val="24"/>
          <w:u w:val="single"/>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hint="eastAsia" w:ascii="楷体" w:hAnsi="楷体" w:eastAsia="楷体"/>
          <w:sz w:val="24"/>
        </w:rPr>
        <w:t>：</w:t>
      </w:r>
    </w:p>
    <w:p>
      <w:pPr>
        <w:spacing w:line="360" w:lineRule="auto"/>
        <w:rPr>
          <w:rFonts w:ascii="楷体" w:hAnsi="楷体" w:eastAsia="楷体"/>
          <w:sz w:val="24"/>
        </w:rPr>
      </w:pPr>
      <w:r>
        <w:rPr>
          <w:rFonts w:hint="eastAsia" w:ascii="楷体" w:hAnsi="楷体" w:eastAsia="楷体"/>
          <w:sz w:val="24"/>
          <w:u w:val="single"/>
        </w:rPr>
        <w:t>光彩银星拍卖有限公司</w:t>
      </w:r>
      <w:r>
        <w:rPr>
          <w:rFonts w:ascii="楷体" w:hAnsi="楷体" w:eastAsia="楷体"/>
          <w:sz w:val="24"/>
          <w:u w:val="single"/>
        </w:rPr>
        <w:t xml:space="preserve"> </w:t>
      </w:r>
      <w:r>
        <w:rPr>
          <w:rFonts w:hint="eastAsia" w:ascii="楷体" w:hAnsi="楷体" w:eastAsia="楷体"/>
          <w:sz w:val="24"/>
        </w:rPr>
        <w:t>拍卖行：</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/我单位拟参加中国长城资产管理股份有限公司</w:t>
      </w:r>
      <w:r>
        <w:rPr>
          <w:rFonts w:hint="eastAsia" w:ascii="楷体" w:hAnsi="楷体" w:eastAsia="楷体"/>
          <w:sz w:val="24"/>
          <w:u w:val="single"/>
        </w:rPr>
        <w:t>山东省分公司</w:t>
      </w:r>
      <w:r>
        <w:rPr>
          <w:rFonts w:hint="eastAsia" w:ascii="楷体" w:hAnsi="楷体" w:eastAsia="楷体"/>
          <w:sz w:val="24"/>
        </w:rPr>
        <w:t>拟于</w:t>
      </w:r>
      <w:r>
        <w:rPr>
          <w:rFonts w:ascii="楷体" w:hAnsi="楷体" w:eastAsia="楷体"/>
          <w:sz w:val="24"/>
          <w:u w:val="single"/>
        </w:rPr>
        <w:t>20</w:t>
      </w:r>
      <w:r>
        <w:rPr>
          <w:rFonts w:hint="eastAsia" w:ascii="楷体" w:hAnsi="楷体" w:eastAsia="楷体"/>
          <w:sz w:val="24"/>
          <w:u w:val="single"/>
        </w:rPr>
        <w:t>21</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u w:val="single"/>
          <w:lang w:val="en-US" w:eastAsia="zh-CN"/>
        </w:rPr>
        <w:t>2</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u w:val="single"/>
          <w:lang w:val="en-US" w:eastAsia="zh-CN"/>
        </w:rPr>
        <w:t>20</w:t>
      </w:r>
      <w:r>
        <w:rPr>
          <w:rFonts w:hint="eastAsia" w:ascii="楷体" w:hAnsi="楷体" w:eastAsia="楷体"/>
          <w:sz w:val="24"/>
        </w:rPr>
        <w:t>日由</w:t>
      </w:r>
      <w:r>
        <w:rPr>
          <w:rFonts w:hint="eastAsia" w:ascii="楷体" w:hAnsi="楷体" w:eastAsia="楷体"/>
          <w:sz w:val="24"/>
          <w:u w:val="single"/>
        </w:rPr>
        <w:t>光彩银星拍卖有限公司</w:t>
      </w:r>
      <w:r>
        <w:rPr>
          <w:rFonts w:hint="eastAsia" w:ascii="楷体" w:hAnsi="楷体" w:eastAsia="楷体"/>
          <w:sz w:val="24"/>
        </w:rPr>
        <w:t>拍卖行举行的关于</w:t>
      </w:r>
      <w:r>
        <w:rPr>
          <w:rFonts w:hint="eastAsia" w:ascii="楷体" w:hAnsi="楷体" w:eastAsia="楷体"/>
          <w:sz w:val="24"/>
          <w:u w:val="single"/>
        </w:rPr>
        <w:t>齐鲁特钢有限公司、齐鲁工程装备有限公司</w:t>
      </w:r>
      <w:r>
        <w:rPr>
          <w:rFonts w:hint="eastAsia" w:ascii="楷体" w:hAnsi="楷体" w:eastAsia="楷体"/>
          <w:sz w:val="24"/>
        </w:rPr>
        <w:t>债权拍卖标的的竞买，我</w:t>
      </w:r>
      <w:r>
        <w:rPr>
          <w:rFonts w:ascii="楷体" w:hAnsi="楷体" w:eastAsia="楷体"/>
          <w:sz w:val="24"/>
        </w:rPr>
        <w:t>/我单位已认真阅读了拍卖公告，并在办理竞买手续前仔细阅读了拍卖规则和竞买须知（包括拍卖债权的瑕疵披露及拟签署的《债权转让协议》等所附材料）有关内容，并就自认为须进一步了解的问题向拍卖机构进行了咨询，我/我单位确认已全面、清楚地知悉和理解并接受拍卖公告、拍卖规则以及竞买须知的全部内容，我/我单位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不良债权转让的金融资产管理公司工作人员、国有企业债务人或者受托资产评估机构负责人员等”存在任何直系亲属关系，若存在以上情形，我/我单位将自愿承担全部责任，赔偿中国长城资产管理股份有限公司</w:t>
      </w:r>
      <w:r>
        <w:rPr>
          <w:rFonts w:hint="eastAsia" w:ascii="楷体" w:hAnsi="楷体" w:eastAsia="楷体"/>
          <w:sz w:val="24"/>
          <w:u w:val="single"/>
        </w:rPr>
        <w:t>山东省分公司</w:t>
      </w:r>
      <w:r>
        <w:rPr>
          <w:rFonts w:hint="eastAsia" w:ascii="楷体" w:hAnsi="楷体" w:eastAsia="楷体"/>
          <w:sz w:val="24"/>
        </w:rPr>
        <w:t>以及</w:t>
      </w:r>
      <w:r>
        <w:rPr>
          <w:rFonts w:hint="eastAsia" w:ascii="楷体" w:hAnsi="楷体" w:eastAsia="楷体"/>
          <w:sz w:val="24"/>
          <w:u w:val="single"/>
        </w:rPr>
        <w:t>光彩银星拍卖有限公司</w:t>
      </w:r>
      <w:r>
        <w:rPr>
          <w:rFonts w:hint="eastAsia" w:ascii="楷体" w:hAnsi="楷体" w:eastAsia="楷体"/>
          <w:sz w:val="24"/>
        </w:rPr>
        <w:t>因此所遭受的全部损失。我</w:t>
      </w:r>
      <w:r>
        <w:rPr>
          <w:rFonts w:ascii="楷体" w:hAnsi="楷体" w:eastAsia="楷体"/>
          <w:sz w:val="24"/>
        </w:rPr>
        <w:t>/我单位进一步向中国长城资产管理股份有限公司</w:t>
      </w:r>
      <w:r>
        <w:rPr>
          <w:rFonts w:hint="eastAsia" w:ascii="楷体" w:hAnsi="楷体" w:eastAsia="楷体"/>
          <w:sz w:val="24"/>
          <w:u w:val="single"/>
        </w:rPr>
        <w:t>山东省分公司</w:t>
      </w:r>
      <w:r>
        <w:rPr>
          <w:rFonts w:hint="eastAsia" w:ascii="楷体" w:hAnsi="楷体" w:eastAsia="楷体"/>
          <w:sz w:val="24"/>
        </w:rPr>
        <w:t>承诺，在受让拍卖标的后，我</w:t>
      </w:r>
      <w:r>
        <w:rPr>
          <w:rFonts w:ascii="楷体" w:hAnsi="楷体" w:eastAsia="楷体"/>
          <w:sz w:val="24"/>
        </w:rPr>
        <w:t>/我单位将自愿独自承担拍卖标的因各种瑕疵导致的预期利益不能实现的风险或损失，不因该等瑕疵或风险而向中国长城资产管理股份有限公司公司</w:t>
      </w:r>
      <w:r>
        <w:rPr>
          <w:rFonts w:hint="eastAsia" w:ascii="楷体" w:hAnsi="楷体" w:eastAsia="楷体"/>
          <w:sz w:val="24"/>
          <w:u w:val="single"/>
        </w:rPr>
        <w:t>山东省分公司</w:t>
      </w:r>
      <w:r>
        <w:rPr>
          <w:rFonts w:hint="eastAsia" w:ascii="楷体" w:hAnsi="楷体" w:eastAsia="楷体"/>
          <w:sz w:val="24"/>
        </w:rPr>
        <w:t>及前手债权人主张任何责任。</w:t>
      </w:r>
    </w:p>
    <w:p>
      <w:pPr>
        <w:spacing w:line="360" w:lineRule="auto"/>
        <w:ind w:firstLine="480" w:firstLineChars="200"/>
        <w:jc w:val="center"/>
        <w:rPr>
          <w:rFonts w:ascii="楷体" w:hAnsi="楷体" w:eastAsia="楷体"/>
          <w:sz w:val="24"/>
        </w:rPr>
      </w:pPr>
    </w:p>
    <w:p>
      <w:pPr>
        <w:spacing w:line="360" w:lineRule="auto"/>
        <w:ind w:firstLine="480" w:firstLineChars="200"/>
        <w:jc w:val="center"/>
        <w:rPr>
          <w:rFonts w:ascii="楷体" w:hAnsi="楷体" w:eastAsia="楷体"/>
          <w:sz w:val="24"/>
        </w:rPr>
      </w:pPr>
      <w:r>
        <w:rPr>
          <w:rFonts w:ascii="楷体" w:hAnsi="楷体" w:eastAsia="楷体"/>
          <w:sz w:val="24"/>
        </w:rPr>
        <w:t>承诺人：</w:t>
      </w:r>
    </w:p>
    <w:p>
      <w:pPr>
        <w:spacing w:line="360" w:lineRule="auto"/>
        <w:ind w:firstLine="480" w:firstLineChars="200"/>
        <w:jc w:val="center"/>
        <w:rPr>
          <w:rFonts w:hint="eastAsia" w:ascii="楷体" w:hAnsi="楷体" w:eastAsia="楷体"/>
          <w:sz w:val="24"/>
        </w:rPr>
      </w:pPr>
      <w:r>
        <w:rPr>
          <w:rFonts w:ascii="楷体" w:hAnsi="楷体" w:eastAsia="楷体"/>
          <w:sz w:val="24"/>
        </w:rPr>
        <w:t>（承诺人单位公章）</w:t>
      </w:r>
    </w:p>
    <w:p>
      <w:pPr>
        <w:spacing w:line="360" w:lineRule="auto"/>
        <w:ind w:firstLine="480" w:firstLineChars="200"/>
        <w:jc w:val="center"/>
        <w:rPr>
          <w:rFonts w:hint="eastAsia" w:ascii="楷体" w:hAnsi="楷体" w:eastAsia="楷体"/>
          <w:sz w:val="24"/>
          <w:u w:val="none"/>
          <w:lang w:val="en-US" w:eastAsia="zh-CN"/>
        </w:rPr>
      </w:pPr>
      <w:r>
        <w:rPr>
          <w:rFonts w:hint="eastAsia" w:ascii="楷体" w:hAnsi="楷体" w:eastAsia="楷体"/>
          <w:sz w:val="24"/>
          <w:u w:val="none"/>
          <w:lang w:val="en-US" w:eastAsia="zh-CN"/>
        </w:rPr>
        <w:t xml:space="preserve">                                </w:t>
      </w:r>
    </w:p>
    <w:p>
      <w:pPr>
        <w:spacing w:line="360" w:lineRule="auto"/>
        <w:ind w:firstLine="480" w:firstLineChars="200"/>
        <w:jc w:val="center"/>
        <w:rPr>
          <w:rFonts w:ascii="楷体" w:hAnsi="楷体" w:eastAsia="楷体"/>
          <w:sz w:val="24"/>
        </w:rPr>
      </w:pPr>
      <w:r>
        <w:rPr>
          <w:rFonts w:hint="eastAsia" w:ascii="楷体" w:hAnsi="楷体" w:eastAsia="楷体"/>
          <w:sz w:val="24"/>
          <w:u w:val="none"/>
          <w:lang w:val="en-US" w:eastAsia="zh-CN"/>
        </w:rPr>
        <w:t xml:space="preserve">                                  </w:t>
      </w:r>
      <w:r>
        <w:rPr>
          <w:rFonts w:ascii="楷体" w:hAnsi="楷体" w:eastAsia="楷体"/>
          <w:sz w:val="24"/>
          <w:u w:val="none"/>
        </w:rPr>
        <w:t>20</w:t>
      </w:r>
      <w:r>
        <w:rPr>
          <w:rFonts w:hint="eastAsia" w:ascii="楷体" w:hAnsi="楷体" w:eastAsia="楷体"/>
          <w:sz w:val="24"/>
          <w:u w:val="none"/>
        </w:rPr>
        <w:t>21年</w:t>
      </w:r>
      <w:r>
        <w:rPr>
          <w:rFonts w:ascii="楷体" w:hAnsi="楷体" w:eastAsia="楷体"/>
          <w:sz w:val="24"/>
          <w:u w:val="none"/>
        </w:rPr>
        <w:t xml:space="preserve"> </w:t>
      </w:r>
      <w:r>
        <w:rPr>
          <w:rFonts w:hint="eastAsia" w:ascii="楷体" w:hAnsi="楷体" w:eastAsia="楷体"/>
          <w:sz w:val="24"/>
          <w:u w:val="none"/>
          <w:lang w:val="en-US" w:eastAsia="zh-CN"/>
        </w:rPr>
        <w:t>2</w:t>
      </w:r>
      <w:r>
        <w:rPr>
          <w:rFonts w:ascii="楷体" w:hAnsi="楷体" w:eastAsia="楷体"/>
          <w:sz w:val="24"/>
          <w:u w:val="none"/>
        </w:rPr>
        <w:t xml:space="preserve"> </w:t>
      </w:r>
      <w:r>
        <w:rPr>
          <w:rFonts w:hint="eastAsia" w:ascii="楷体" w:hAnsi="楷体" w:eastAsia="楷体"/>
          <w:sz w:val="24"/>
          <w:u w:val="none"/>
        </w:rPr>
        <w:t>月</w:t>
      </w:r>
      <w:r>
        <w:rPr>
          <w:rFonts w:hint="eastAsia" w:ascii="楷体" w:hAnsi="楷体" w:eastAsia="楷体"/>
          <w:sz w:val="24"/>
          <w:u w:val="none"/>
          <w:lang w:val="en-US" w:eastAsia="zh-CN"/>
        </w:rPr>
        <w:t>5</w:t>
      </w:r>
      <w:r>
        <w:rPr>
          <w:rFonts w:hint="eastAsia" w:ascii="楷体" w:hAnsi="楷体" w:eastAsia="楷体"/>
          <w:sz w:val="24"/>
          <w:u w:val="none"/>
        </w:rPr>
        <w:t>日</w:t>
      </w:r>
    </w:p>
    <w:p/>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ascii="仿宋_GB2312" w:eastAsia="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Thousand"/>
      <w:pStyle w:val="22"/>
      <w:lvlText w:val="第%1条"/>
      <w:lvlJc w:val="left"/>
      <w:pPr>
        <w:tabs>
          <w:tab w:val="left" w:pos="720"/>
        </w:tabs>
        <w:ind w:left="425" w:hanging="425"/>
      </w:pPr>
      <w:rPr>
        <w:rFonts w:hint="eastAsia" w:ascii="华文细黑" w:hAnsi="华文细黑" w:eastAsia="华文细黑"/>
        <w:b/>
        <w:i w:val="0"/>
        <w:sz w:val="22"/>
        <w:szCs w:val="22"/>
      </w:rPr>
    </w:lvl>
    <w:lvl w:ilvl="1" w:tentative="0">
      <w:start w:val="1"/>
      <w:numFmt w:val="decimal"/>
      <w:pStyle w:val="20"/>
      <w:isLgl/>
      <w:lvlText w:val="%1.%2"/>
      <w:lvlJc w:val="left"/>
      <w:pPr>
        <w:tabs>
          <w:tab w:val="left" w:pos="2160"/>
        </w:tabs>
        <w:ind w:left="2007" w:hanging="567"/>
      </w:pPr>
      <w:rPr>
        <w:rFonts w:hint="eastAsia" w:ascii="华文细黑" w:hAnsi="华文细黑" w:eastAsia="华文细黑"/>
        <w:b w:val="0"/>
        <w:color w:val="000000"/>
        <w:sz w:val="22"/>
        <w:szCs w:val="22"/>
      </w:rPr>
    </w:lvl>
    <w:lvl w:ilvl="2" w:tentative="0">
      <w:start w:val="1"/>
      <w:numFmt w:val="decimal"/>
      <w:pStyle w:val="24"/>
      <w:isLgl/>
      <w:lvlText w:val="%1.%2.%3"/>
      <w:lvlJc w:val="left"/>
      <w:pPr>
        <w:tabs>
          <w:tab w:val="left" w:pos="1969"/>
        </w:tabs>
        <w:ind w:left="1969" w:hanging="709"/>
      </w:pPr>
    </w:lvl>
    <w:lvl w:ilvl="3" w:tentative="0">
      <w:start w:val="1"/>
      <w:numFmt w:val="decimal"/>
      <w:pStyle w:val="25"/>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53208E"/>
    <w:multiLevelType w:val="multilevel"/>
    <w:tmpl w:val="0053208E"/>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abstractNum w:abstractNumId="2">
    <w:nsid w:val="6B5E4B43"/>
    <w:multiLevelType w:val="multilevel"/>
    <w:tmpl w:val="6B5E4B43"/>
    <w:lvl w:ilvl="0" w:tentative="0">
      <w:start w:val="0"/>
      <w:numFmt w:val="none"/>
      <w:pStyle w:val="43"/>
      <w:lvlText w:val=""/>
      <w:lvlJc w:val="left"/>
      <w:pPr>
        <w:tabs>
          <w:tab w:val="left" w:pos="360"/>
        </w:tabs>
      </w:pPr>
    </w:lvl>
    <w:lvl w:ilvl="1" w:tentative="0">
      <w:start w:val="1"/>
      <w:numFmt w:val="decimal"/>
      <w:pStyle w:val="44"/>
      <w:lvlText w:val="%1.%2"/>
      <w:lvlJc w:val="left"/>
      <w:pPr>
        <w:tabs>
          <w:tab w:val="left" w:pos="720"/>
        </w:tabs>
        <w:ind w:left="0" w:firstLine="0"/>
      </w:pPr>
      <w:rPr>
        <w:rFonts w:ascii="Times New Roman" w:hAnsi="Times New Roman"/>
        <w:b w:val="0"/>
        <w:i w:val="0"/>
        <w:caps w:val="0"/>
        <w:color w:val="auto"/>
        <w:u w:val="none"/>
      </w:rPr>
    </w:lvl>
    <w:lvl w:ilvl="2" w:tentative="0">
      <w:start w:val="1"/>
      <w:numFmt w:val="lowerLetter"/>
      <w:pStyle w:val="45"/>
      <w:lvlText w:val="(%3)"/>
      <w:lvlJc w:val="left"/>
      <w:pPr>
        <w:tabs>
          <w:tab w:val="left" w:pos="720"/>
        </w:tabs>
        <w:ind w:left="720" w:hanging="720"/>
      </w:pPr>
      <w:rPr>
        <w:rFonts w:ascii="Times New Roman" w:hAnsi="Times New Roman"/>
        <w:b w:val="0"/>
        <w:i w:val="0"/>
        <w:caps w:val="0"/>
        <w:color w:val="auto"/>
        <w:u w:val="none"/>
      </w:rPr>
    </w:lvl>
    <w:lvl w:ilvl="3" w:tentative="0">
      <w:start w:val="1"/>
      <w:numFmt w:val="lowerRoman"/>
      <w:pStyle w:val="46"/>
      <w:lvlText w:val="(%4)"/>
      <w:lvlJc w:val="right"/>
      <w:pPr>
        <w:tabs>
          <w:tab w:val="left" w:pos="1440"/>
        </w:tabs>
        <w:ind w:left="1440" w:hanging="216"/>
      </w:pPr>
      <w:rPr>
        <w:rFonts w:ascii="Times New Roman" w:hAnsi="Times New Roman"/>
        <w:b w:val="0"/>
        <w:i w:val="0"/>
        <w:caps w:val="0"/>
        <w:color w:val="auto"/>
        <w:u w:val="none"/>
      </w:rPr>
    </w:lvl>
    <w:lvl w:ilvl="4" w:tentative="0">
      <w:start w:val="1"/>
      <w:numFmt w:val="upperLetter"/>
      <w:pStyle w:val="47"/>
      <w:lvlText w:val="(%5)"/>
      <w:lvlJc w:val="left"/>
      <w:pPr>
        <w:tabs>
          <w:tab w:val="left" w:pos="2160"/>
        </w:tabs>
        <w:ind w:left="2160" w:hanging="720"/>
      </w:pPr>
      <w:rPr>
        <w:rFonts w:ascii="Times New Roman" w:hAnsi="Times New Roman"/>
        <w:b w:val="0"/>
        <w:i w:val="0"/>
        <w:caps w:val="0"/>
        <w:color w:val="auto"/>
        <w:u w:val="none"/>
      </w:rPr>
    </w:lvl>
    <w:lvl w:ilvl="5" w:tentative="0">
      <w:start w:val="1"/>
      <w:numFmt w:val="upperRoman"/>
      <w:pStyle w:val="48"/>
      <w:lvlText w:val="(%6)"/>
      <w:lvlJc w:val="right"/>
      <w:pPr>
        <w:tabs>
          <w:tab w:val="left" w:pos="2880"/>
        </w:tabs>
        <w:ind w:left="2880" w:hanging="216"/>
      </w:pPr>
      <w:rPr>
        <w:rFonts w:ascii="Times New Roman" w:hAnsi="Times New Roman"/>
        <w:b w:val="0"/>
        <w:i w:val="0"/>
        <w:caps w:val="0"/>
        <w:color w:val="auto"/>
        <w:u w:val="none"/>
      </w:rPr>
    </w:lvl>
    <w:lvl w:ilvl="6" w:tentative="0">
      <w:start w:val="27"/>
      <w:numFmt w:val="lowerLetter"/>
      <w:pStyle w:val="49"/>
      <w:lvlText w:val="(%7)"/>
      <w:lvlJc w:val="left"/>
      <w:pPr>
        <w:tabs>
          <w:tab w:val="left" w:pos="3600"/>
        </w:tabs>
        <w:ind w:left="3600" w:hanging="720"/>
      </w:pPr>
      <w:rPr>
        <w:rFonts w:ascii="Times New Roman" w:hAnsi="Times New Roman"/>
        <w:b w:val="0"/>
        <w:i w:val="0"/>
        <w:caps w:val="0"/>
        <w:color w:val="auto"/>
        <w:u w:val="none"/>
      </w:rPr>
    </w:lvl>
    <w:lvl w:ilvl="7" w:tentative="0">
      <w:start w:val="1"/>
      <w:numFmt w:val="decimal"/>
      <w:pStyle w:val="50"/>
      <w:lvlText w:val="(%8)"/>
      <w:lvlJc w:val="left"/>
      <w:pPr>
        <w:tabs>
          <w:tab w:val="left" w:pos="4320"/>
        </w:tabs>
        <w:ind w:left="4320" w:hanging="720"/>
      </w:pPr>
      <w:rPr>
        <w:rFonts w:ascii="Times New Roman" w:hAnsi="Times New Roman"/>
        <w:b w:val="0"/>
        <w:i w:val="0"/>
        <w:caps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aps w:val="0"/>
        <w:color w:val="auto"/>
        <w:u w:val="none"/>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420"/>
  <w:drawingGridHorizontalSpacing w:val="107"/>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DF"/>
    <w:rsid w:val="00004588"/>
    <w:rsid w:val="00010010"/>
    <w:rsid w:val="000106CB"/>
    <w:rsid w:val="00017025"/>
    <w:rsid w:val="00017BE0"/>
    <w:rsid w:val="00021C29"/>
    <w:rsid w:val="00027EF9"/>
    <w:rsid w:val="000330D5"/>
    <w:rsid w:val="0003575B"/>
    <w:rsid w:val="00037F2C"/>
    <w:rsid w:val="00041F5A"/>
    <w:rsid w:val="000445AD"/>
    <w:rsid w:val="00045778"/>
    <w:rsid w:val="00052CA2"/>
    <w:rsid w:val="0006012E"/>
    <w:rsid w:val="00067E5E"/>
    <w:rsid w:val="000741ED"/>
    <w:rsid w:val="000851A2"/>
    <w:rsid w:val="00087090"/>
    <w:rsid w:val="0008799E"/>
    <w:rsid w:val="00087D0E"/>
    <w:rsid w:val="00092224"/>
    <w:rsid w:val="000A113B"/>
    <w:rsid w:val="000A5675"/>
    <w:rsid w:val="000A6040"/>
    <w:rsid w:val="000A656E"/>
    <w:rsid w:val="000B20FA"/>
    <w:rsid w:val="000D13C2"/>
    <w:rsid w:val="000D36FD"/>
    <w:rsid w:val="000D572D"/>
    <w:rsid w:val="000D6F36"/>
    <w:rsid w:val="000E65F7"/>
    <w:rsid w:val="000E7784"/>
    <w:rsid w:val="000F02F3"/>
    <w:rsid w:val="000F3B5F"/>
    <w:rsid w:val="00101B9E"/>
    <w:rsid w:val="0010481E"/>
    <w:rsid w:val="001052AE"/>
    <w:rsid w:val="00110892"/>
    <w:rsid w:val="00117211"/>
    <w:rsid w:val="00122907"/>
    <w:rsid w:val="00122B80"/>
    <w:rsid w:val="00136505"/>
    <w:rsid w:val="00137122"/>
    <w:rsid w:val="00143CF3"/>
    <w:rsid w:val="00145BE2"/>
    <w:rsid w:val="00151DF7"/>
    <w:rsid w:val="00155372"/>
    <w:rsid w:val="00161D95"/>
    <w:rsid w:val="00164193"/>
    <w:rsid w:val="00167944"/>
    <w:rsid w:val="00167D6F"/>
    <w:rsid w:val="00170B06"/>
    <w:rsid w:val="00172A27"/>
    <w:rsid w:val="00176A57"/>
    <w:rsid w:val="001828CA"/>
    <w:rsid w:val="00184F82"/>
    <w:rsid w:val="001A1031"/>
    <w:rsid w:val="001A1BA6"/>
    <w:rsid w:val="001A2E03"/>
    <w:rsid w:val="001A355B"/>
    <w:rsid w:val="001A54FD"/>
    <w:rsid w:val="001B322B"/>
    <w:rsid w:val="001B3662"/>
    <w:rsid w:val="001D0591"/>
    <w:rsid w:val="001D2A93"/>
    <w:rsid w:val="001E390B"/>
    <w:rsid w:val="001E3D22"/>
    <w:rsid w:val="00203994"/>
    <w:rsid w:val="00207D93"/>
    <w:rsid w:val="00216681"/>
    <w:rsid w:val="00221CF8"/>
    <w:rsid w:val="00225B7C"/>
    <w:rsid w:val="002269FA"/>
    <w:rsid w:val="0023049A"/>
    <w:rsid w:val="002317A6"/>
    <w:rsid w:val="0023480D"/>
    <w:rsid w:val="0023490B"/>
    <w:rsid w:val="00242099"/>
    <w:rsid w:val="002528B9"/>
    <w:rsid w:val="00254234"/>
    <w:rsid w:val="00261FC1"/>
    <w:rsid w:val="00262D0B"/>
    <w:rsid w:val="00263696"/>
    <w:rsid w:val="002671DC"/>
    <w:rsid w:val="00271902"/>
    <w:rsid w:val="00273C0D"/>
    <w:rsid w:val="00274CC5"/>
    <w:rsid w:val="00274FF2"/>
    <w:rsid w:val="00275C84"/>
    <w:rsid w:val="002763F1"/>
    <w:rsid w:val="00277AEA"/>
    <w:rsid w:val="00285843"/>
    <w:rsid w:val="00286B98"/>
    <w:rsid w:val="00294CDF"/>
    <w:rsid w:val="002A09EC"/>
    <w:rsid w:val="002A1516"/>
    <w:rsid w:val="002A3774"/>
    <w:rsid w:val="002A6CFD"/>
    <w:rsid w:val="002B0E7E"/>
    <w:rsid w:val="002C3560"/>
    <w:rsid w:val="002C40C0"/>
    <w:rsid w:val="002D1C5F"/>
    <w:rsid w:val="002E251B"/>
    <w:rsid w:val="002E6D00"/>
    <w:rsid w:val="002F5B52"/>
    <w:rsid w:val="00315A47"/>
    <w:rsid w:val="003252E0"/>
    <w:rsid w:val="00325AB8"/>
    <w:rsid w:val="0032677D"/>
    <w:rsid w:val="00332372"/>
    <w:rsid w:val="003330EE"/>
    <w:rsid w:val="003409D1"/>
    <w:rsid w:val="003429C2"/>
    <w:rsid w:val="00342F7D"/>
    <w:rsid w:val="00343DB7"/>
    <w:rsid w:val="003450AF"/>
    <w:rsid w:val="00350D93"/>
    <w:rsid w:val="00355C0E"/>
    <w:rsid w:val="00364006"/>
    <w:rsid w:val="00371314"/>
    <w:rsid w:val="003750A5"/>
    <w:rsid w:val="003758BA"/>
    <w:rsid w:val="00377C9C"/>
    <w:rsid w:val="003861C0"/>
    <w:rsid w:val="00397FF0"/>
    <w:rsid w:val="003A4041"/>
    <w:rsid w:val="003B4B6D"/>
    <w:rsid w:val="003C2AB7"/>
    <w:rsid w:val="003C7FC3"/>
    <w:rsid w:val="003D0F55"/>
    <w:rsid w:val="003E174F"/>
    <w:rsid w:val="003E1814"/>
    <w:rsid w:val="003E3B9C"/>
    <w:rsid w:val="004054B0"/>
    <w:rsid w:val="004077E0"/>
    <w:rsid w:val="0043778D"/>
    <w:rsid w:val="00453053"/>
    <w:rsid w:val="00463492"/>
    <w:rsid w:val="00465F5D"/>
    <w:rsid w:val="004667B4"/>
    <w:rsid w:val="00473FEC"/>
    <w:rsid w:val="004806F7"/>
    <w:rsid w:val="00481CE7"/>
    <w:rsid w:val="0048409A"/>
    <w:rsid w:val="00485575"/>
    <w:rsid w:val="00487977"/>
    <w:rsid w:val="00494C15"/>
    <w:rsid w:val="00494C30"/>
    <w:rsid w:val="004967E1"/>
    <w:rsid w:val="004A1BC9"/>
    <w:rsid w:val="004B6B88"/>
    <w:rsid w:val="004B7D21"/>
    <w:rsid w:val="004C1A75"/>
    <w:rsid w:val="004C1E09"/>
    <w:rsid w:val="004C23D2"/>
    <w:rsid w:val="004C36FC"/>
    <w:rsid w:val="004C3BC4"/>
    <w:rsid w:val="004C53C6"/>
    <w:rsid w:val="004D6E86"/>
    <w:rsid w:val="004E70A3"/>
    <w:rsid w:val="004F292A"/>
    <w:rsid w:val="004F5A08"/>
    <w:rsid w:val="00522046"/>
    <w:rsid w:val="00522FE2"/>
    <w:rsid w:val="00535DC3"/>
    <w:rsid w:val="00541766"/>
    <w:rsid w:val="00542914"/>
    <w:rsid w:val="00542F85"/>
    <w:rsid w:val="00543A18"/>
    <w:rsid w:val="0054737C"/>
    <w:rsid w:val="00556B0C"/>
    <w:rsid w:val="00557F9C"/>
    <w:rsid w:val="005640EE"/>
    <w:rsid w:val="00570C58"/>
    <w:rsid w:val="0057587E"/>
    <w:rsid w:val="00582CCB"/>
    <w:rsid w:val="005838FF"/>
    <w:rsid w:val="005840A6"/>
    <w:rsid w:val="00584E83"/>
    <w:rsid w:val="00587147"/>
    <w:rsid w:val="00590E90"/>
    <w:rsid w:val="005945AB"/>
    <w:rsid w:val="00595753"/>
    <w:rsid w:val="005978C0"/>
    <w:rsid w:val="005A5EEA"/>
    <w:rsid w:val="005A68AC"/>
    <w:rsid w:val="005B5F2E"/>
    <w:rsid w:val="005B6157"/>
    <w:rsid w:val="005C113B"/>
    <w:rsid w:val="005C57F0"/>
    <w:rsid w:val="005C62DD"/>
    <w:rsid w:val="005D1685"/>
    <w:rsid w:val="005D2EBF"/>
    <w:rsid w:val="005D2FAA"/>
    <w:rsid w:val="005D4184"/>
    <w:rsid w:val="005D64F7"/>
    <w:rsid w:val="005D79EC"/>
    <w:rsid w:val="005E256F"/>
    <w:rsid w:val="005E3E06"/>
    <w:rsid w:val="005E4C79"/>
    <w:rsid w:val="005F20FE"/>
    <w:rsid w:val="005F2482"/>
    <w:rsid w:val="005F4EBC"/>
    <w:rsid w:val="005F74AF"/>
    <w:rsid w:val="005F7948"/>
    <w:rsid w:val="0060389E"/>
    <w:rsid w:val="00605BE9"/>
    <w:rsid w:val="006173F4"/>
    <w:rsid w:val="00623547"/>
    <w:rsid w:val="00634CBC"/>
    <w:rsid w:val="006420FC"/>
    <w:rsid w:val="00647792"/>
    <w:rsid w:val="00650089"/>
    <w:rsid w:val="006529D3"/>
    <w:rsid w:val="00656430"/>
    <w:rsid w:val="006812AD"/>
    <w:rsid w:val="0068367E"/>
    <w:rsid w:val="0069345C"/>
    <w:rsid w:val="006A02C9"/>
    <w:rsid w:val="006A305A"/>
    <w:rsid w:val="006A3394"/>
    <w:rsid w:val="006B6D50"/>
    <w:rsid w:val="006C0255"/>
    <w:rsid w:val="006C27E3"/>
    <w:rsid w:val="006D727F"/>
    <w:rsid w:val="006E19ED"/>
    <w:rsid w:val="007002D7"/>
    <w:rsid w:val="00707DF5"/>
    <w:rsid w:val="00710E99"/>
    <w:rsid w:val="00714B2D"/>
    <w:rsid w:val="00715129"/>
    <w:rsid w:val="00725BAC"/>
    <w:rsid w:val="00731994"/>
    <w:rsid w:val="00733BB4"/>
    <w:rsid w:val="0073649A"/>
    <w:rsid w:val="007414F5"/>
    <w:rsid w:val="00743470"/>
    <w:rsid w:val="00766F6C"/>
    <w:rsid w:val="00770D87"/>
    <w:rsid w:val="00776C81"/>
    <w:rsid w:val="007803D3"/>
    <w:rsid w:val="007803D7"/>
    <w:rsid w:val="00782B26"/>
    <w:rsid w:val="0078726B"/>
    <w:rsid w:val="00787BF8"/>
    <w:rsid w:val="00795881"/>
    <w:rsid w:val="0079791A"/>
    <w:rsid w:val="007A24E7"/>
    <w:rsid w:val="007A5B43"/>
    <w:rsid w:val="007C385D"/>
    <w:rsid w:val="007C57CB"/>
    <w:rsid w:val="007D2DE8"/>
    <w:rsid w:val="007D655F"/>
    <w:rsid w:val="007E5F22"/>
    <w:rsid w:val="007F1A03"/>
    <w:rsid w:val="007F1F99"/>
    <w:rsid w:val="007F63E0"/>
    <w:rsid w:val="0080250E"/>
    <w:rsid w:val="00807811"/>
    <w:rsid w:val="008115DC"/>
    <w:rsid w:val="008138E8"/>
    <w:rsid w:val="008226D9"/>
    <w:rsid w:val="00824402"/>
    <w:rsid w:val="00826120"/>
    <w:rsid w:val="0083032E"/>
    <w:rsid w:val="00837B7C"/>
    <w:rsid w:val="00860E4F"/>
    <w:rsid w:val="00863CC0"/>
    <w:rsid w:val="00870735"/>
    <w:rsid w:val="008726DF"/>
    <w:rsid w:val="0088772B"/>
    <w:rsid w:val="00890FDB"/>
    <w:rsid w:val="008A0116"/>
    <w:rsid w:val="008A7BF7"/>
    <w:rsid w:val="008B42C5"/>
    <w:rsid w:val="008B44FE"/>
    <w:rsid w:val="008B6E6D"/>
    <w:rsid w:val="008C4541"/>
    <w:rsid w:val="008D34A4"/>
    <w:rsid w:val="008E00CA"/>
    <w:rsid w:val="008E1AB6"/>
    <w:rsid w:val="008E250C"/>
    <w:rsid w:val="008E2DC1"/>
    <w:rsid w:val="008E4BD7"/>
    <w:rsid w:val="008F04A8"/>
    <w:rsid w:val="008F5F99"/>
    <w:rsid w:val="00902752"/>
    <w:rsid w:val="00903A43"/>
    <w:rsid w:val="00904D8E"/>
    <w:rsid w:val="009056E2"/>
    <w:rsid w:val="0090670E"/>
    <w:rsid w:val="009152DD"/>
    <w:rsid w:val="00916050"/>
    <w:rsid w:val="00916912"/>
    <w:rsid w:val="009208C9"/>
    <w:rsid w:val="00920A58"/>
    <w:rsid w:val="00920FE4"/>
    <w:rsid w:val="00923709"/>
    <w:rsid w:val="00925D12"/>
    <w:rsid w:val="00926EAA"/>
    <w:rsid w:val="00941E23"/>
    <w:rsid w:val="00953F1A"/>
    <w:rsid w:val="009562E0"/>
    <w:rsid w:val="0096296B"/>
    <w:rsid w:val="00962BA3"/>
    <w:rsid w:val="009713F2"/>
    <w:rsid w:val="0097418D"/>
    <w:rsid w:val="00987512"/>
    <w:rsid w:val="00987AFE"/>
    <w:rsid w:val="00996147"/>
    <w:rsid w:val="009B2149"/>
    <w:rsid w:val="009C3CA9"/>
    <w:rsid w:val="009C62DC"/>
    <w:rsid w:val="009D35A3"/>
    <w:rsid w:val="009D5B05"/>
    <w:rsid w:val="009E3D09"/>
    <w:rsid w:val="009E3D2D"/>
    <w:rsid w:val="009E5273"/>
    <w:rsid w:val="009E691F"/>
    <w:rsid w:val="009F1E3B"/>
    <w:rsid w:val="009F2758"/>
    <w:rsid w:val="00A01822"/>
    <w:rsid w:val="00A03022"/>
    <w:rsid w:val="00A10E8C"/>
    <w:rsid w:val="00A14B70"/>
    <w:rsid w:val="00A15A33"/>
    <w:rsid w:val="00A22C3F"/>
    <w:rsid w:val="00A24C35"/>
    <w:rsid w:val="00A24E5A"/>
    <w:rsid w:val="00A30EE2"/>
    <w:rsid w:val="00A379D4"/>
    <w:rsid w:val="00A51963"/>
    <w:rsid w:val="00A51CB8"/>
    <w:rsid w:val="00A5632C"/>
    <w:rsid w:val="00A60839"/>
    <w:rsid w:val="00A64C0F"/>
    <w:rsid w:val="00A66A95"/>
    <w:rsid w:val="00A80420"/>
    <w:rsid w:val="00A825FE"/>
    <w:rsid w:val="00A85780"/>
    <w:rsid w:val="00A876FC"/>
    <w:rsid w:val="00AA075F"/>
    <w:rsid w:val="00AA108B"/>
    <w:rsid w:val="00AA11B1"/>
    <w:rsid w:val="00AA24F3"/>
    <w:rsid w:val="00AA2CD5"/>
    <w:rsid w:val="00AA7F21"/>
    <w:rsid w:val="00AB79C4"/>
    <w:rsid w:val="00AC43A7"/>
    <w:rsid w:val="00AD012F"/>
    <w:rsid w:val="00AD55AC"/>
    <w:rsid w:val="00AD7F51"/>
    <w:rsid w:val="00AE730F"/>
    <w:rsid w:val="00AF4A56"/>
    <w:rsid w:val="00AF5F5E"/>
    <w:rsid w:val="00B0549D"/>
    <w:rsid w:val="00B21961"/>
    <w:rsid w:val="00B21D16"/>
    <w:rsid w:val="00B24564"/>
    <w:rsid w:val="00B24684"/>
    <w:rsid w:val="00B250E0"/>
    <w:rsid w:val="00B31B33"/>
    <w:rsid w:val="00B32E6D"/>
    <w:rsid w:val="00B3518C"/>
    <w:rsid w:val="00B4013C"/>
    <w:rsid w:val="00B417AD"/>
    <w:rsid w:val="00B45FD7"/>
    <w:rsid w:val="00B520CA"/>
    <w:rsid w:val="00B54FE0"/>
    <w:rsid w:val="00B56F2E"/>
    <w:rsid w:val="00B638DD"/>
    <w:rsid w:val="00B73E26"/>
    <w:rsid w:val="00B749CF"/>
    <w:rsid w:val="00B8256D"/>
    <w:rsid w:val="00B96926"/>
    <w:rsid w:val="00BA0F4B"/>
    <w:rsid w:val="00BA20F2"/>
    <w:rsid w:val="00BA44EE"/>
    <w:rsid w:val="00BB0FF3"/>
    <w:rsid w:val="00BB3D28"/>
    <w:rsid w:val="00BC3072"/>
    <w:rsid w:val="00BC657E"/>
    <w:rsid w:val="00BD14D5"/>
    <w:rsid w:val="00BD2C9A"/>
    <w:rsid w:val="00BD7EA2"/>
    <w:rsid w:val="00BE359F"/>
    <w:rsid w:val="00BF1364"/>
    <w:rsid w:val="00BF3233"/>
    <w:rsid w:val="00BF50FA"/>
    <w:rsid w:val="00C014BD"/>
    <w:rsid w:val="00C01E21"/>
    <w:rsid w:val="00C04C1C"/>
    <w:rsid w:val="00C05CF8"/>
    <w:rsid w:val="00C06A60"/>
    <w:rsid w:val="00C06FE2"/>
    <w:rsid w:val="00C13F8F"/>
    <w:rsid w:val="00C21E0E"/>
    <w:rsid w:val="00C320FF"/>
    <w:rsid w:val="00C323C4"/>
    <w:rsid w:val="00C459C0"/>
    <w:rsid w:val="00C47829"/>
    <w:rsid w:val="00C55D8D"/>
    <w:rsid w:val="00C624F1"/>
    <w:rsid w:val="00C63002"/>
    <w:rsid w:val="00C6439A"/>
    <w:rsid w:val="00C81371"/>
    <w:rsid w:val="00C83982"/>
    <w:rsid w:val="00C85B89"/>
    <w:rsid w:val="00C87465"/>
    <w:rsid w:val="00CA4637"/>
    <w:rsid w:val="00CA4B9C"/>
    <w:rsid w:val="00CA598F"/>
    <w:rsid w:val="00CC0696"/>
    <w:rsid w:val="00CC0B45"/>
    <w:rsid w:val="00CC1032"/>
    <w:rsid w:val="00CC2748"/>
    <w:rsid w:val="00CC718C"/>
    <w:rsid w:val="00CD16A8"/>
    <w:rsid w:val="00CD4241"/>
    <w:rsid w:val="00CD5749"/>
    <w:rsid w:val="00CE2CD6"/>
    <w:rsid w:val="00CE3420"/>
    <w:rsid w:val="00CF416F"/>
    <w:rsid w:val="00CF5917"/>
    <w:rsid w:val="00CF6D25"/>
    <w:rsid w:val="00D061BC"/>
    <w:rsid w:val="00D06A11"/>
    <w:rsid w:val="00D208E2"/>
    <w:rsid w:val="00D26C41"/>
    <w:rsid w:val="00D34A06"/>
    <w:rsid w:val="00D373E4"/>
    <w:rsid w:val="00D37DE2"/>
    <w:rsid w:val="00D40243"/>
    <w:rsid w:val="00D51BE0"/>
    <w:rsid w:val="00D56666"/>
    <w:rsid w:val="00D56834"/>
    <w:rsid w:val="00D56A2A"/>
    <w:rsid w:val="00D603C2"/>
    <w:rsid w:val="00D63081"/>
    <w:rsid w:val="00D63118"/>
    <w:rsid w:val="00D761CA"/>
    <w:rsid w:val="00D7682E"/>
    <w:rsid w:val="00D866BB"/>
    <w:rsid w:val="00D94F3E"/>
    <w:rsid w:val="00DA2606"/>
    <w:rsid w:val="00DA30A2"/>
    <w:rsid w:val="00DA7851"/>
    <w:rsid w:val="00DB15B6"/>
    <w:rsid w:val="00DB6D16"/>
    <w:rsid w:val="00DC2982"/>
    <w:rsid w:val="00DC420C"/>
    <w:rsid w:val="00DD3AB7"/>
    <w:rsid w:val="00DD4D2D"/>
    <w:rsid w:val="00DE0135"/>
    <w:rsid w:val="00DE4942"/>
    <w:rsid w:val="00DE4EA6"/>
    <w:rsid w:val="00DE6C6A"/>
    <w:rsid w:val="00DF2895"/>
    <w:rsid w:val="00E011B0"/>
    <w:rsid w:val="00E01D93"/>
    <w:rsid w:val="00E069C8"/>
    <w:rsid w:val="00E17425"/>
    <w:rsid w:val="00E304E9"/>
    <w:rsid w:val="00E30BBE"/>
    <w:rsid w:val="00E30E22"/>
    <w:rsid w:val="00E41128"/>
    <w:rsid w:val="00E42184"/>
    <w:rsid w:val="00E47DFA"/>
    <w:rsid w:val="00E51D01"/>
    <w:rsid w:val="00E53919"/>
    <w:rsid w:val="00E64C1D"/>
    <w:rsid w:val="00E65F62"/>
    <w:rsid w:val="00E66777"/>
    <w:rsid w:val="00E743A5"/>
    <w:rsid w:val="00E84FB8"/>
    <w:rsid w:val="00E95F89"/>
    <w:rsid w:val="00E97908"/>
    <w:rsid w:val="00EB1096"/>
    <w:rsid w:val="00EB4E04"/>
    <w:rsid w:val="00EC0E93"/>
    <w:rsid w:val="00EC2D1E"/>
    <w:rsid w:val="00EC36F9"/>
    <w:rsid w:val="00EC6AE9"/>
    <w:rsid w:val="00EC7D2F"/>
    <w:rsid w:val="00ED1319"/>
    <w:rsid w:val="00ED42DD"/>
    <w:rsid w:val="00ED6A32"/>
    <w:rsid w:val="00EE360E"/>
    <w:rsid w:val="00EF3650"/>
    <w:rsid w:val="00F008A6"/>
    <w:rsid w:val="00F01186"/>
    <w:rsid w:val="00F02BD0"/>
    <w:rsid w:val="00F1229F"/>
    <w:rsid w:val="00F1794C"/>
    <w:rsid w:val="00F22307"/>
    <w:rsid w:val="00F2358A"/>
    <w:rsid w:val="00F2462E"/>
    <w:rsid w:val="00F2476D"/>
    <w:rsid w:val="00F25B2B"/>
    <w:rsid w:val="00F25F77"/>
    <w:rsid w:val="00F26A36"/>
    <w:rsid w:val="00F32580"/>
    <w:rsid w:val="00F4389E"/>
    <w:rsid w:val="00F43908"/>
    <w:rsid w:val="00F476CB"/>
    <w:rsid w:val="00F54B69"/>
    <w:rsid w:val="00F56473"/>
    <w:rsid w:val="00F64FA4"/>
    <w:rsid w:val="00F84CA7"/>
    <w:rsid w:val="00F85DEA"/>
    <w:rsid w:val="00F9757E"/>
    <w:rsid w:val="00FA2F22"/>
    <w:rsid w:val="00FB2C76"/>
    <w:rsid w:val="00FB5493"/>
    <w:rsid w:val="00FB61E3"/>
    <w:rsid w:val="00FC3579"/>
    <w:rsid w:val="00FC37F0"/>
    <w:rsid w:val="00FC4B95"/>
    <w:rsid w:val="00FC764C"/>
    <w:rsid w:val="00FD1229"/>
    <w:rsid w:val="00FD3790"/>
    <w:rsid w:val="00FD6D8C"/>
    <w:rsid w:val="00FE1BB4"/>
    <w:rsid w:val="00FF657B"/>
    <w:rsid w:val="00FF7D77"/>
    <w:rsid w:val="01456804"/>
    <w:rsid w:val="023228E8"/>
    <w:rsid w:val="024B1D7D"/>
    <w:rsid w:val="032219DA"/>
    <w:rsid w:val="041736F8"/>
    <w:rsid w:val="0448091D"/>
    <w:rsid w:val="04E63A35"/>
    <w:rsid w:val="05764D8B"/>
    <w:rsid w:val="058D30FF"/>
    <w:rsid w:val="05F74B65"/>
    <w:rsid w:val="065D6B52"/>
    <w:rsid w:val="06E42EB2"/>
    <w:rsid w:val="07324868"/>
    <w:rsid w:val="07554F5D"/>
    <w:rsid w:val="0768024C"/>
    <w:rsid w:val="0863773A"/>
    <w:rsid w:val="08A90513"/>
    <w:rsid w:val="0924794D"/>
    <w:rsid w:val="098C30A7"/>
    <w:rsid w:val="09CC250D"/>
    <w:rsid w:val="0A216FA6"/>
    <w:rsid w:val="0B232118"/>
    <w:rsid w:val="0B596BEE"/>
    <w:rsid w:val="0C937AC4"/>
    <w:rsid w:val="0CF3453C"/>
    <w:rsid w:val="0D333644"/>
    <w:rsid w:val="0DF625DB"/>
    <w:rsid w:val="0EA6712F"/>
    <w:rsid w:val="0F8A20D5"/>
    <w:rsid w:val="0FB174AF"/>
    <w:rsid w:val="0FD625E0"/>
    <w:rsid w:val="10264E22"/>
    <w:rsid w:val="10D45C33"/>
    <w:rsid w:val="13094EA9"/>
    <w:rsid w:val="152631A5"/>
    <w:rsid w:val="17C97A1E"/>
    <w:rsid w:val="17E34274"/>
    <w:rsid w:val="18302C7C"/>
    <w:rsid w:val="184B7833"/>
    <w:rsid w:val="184E1321"/>
    <w:rsid w:val="187B0475"/>
    <w:rsid w:val="18E23B5A"/>
    <w:rsid w:val="1AB9254B"/>
    <w:rsid w:val="1AFB33FF"/>
    <w:rsid w:val="1B0B4838"/>
    <w:rsid w:val="1E4B69B6"/>
    <w:rsid w:val="1FD66B8E"/>
    <w:rsid w:val="200E7DCB"/>
    <w:rsid w:val="20E16A31"/>
    <w:rsid w:val="225108B6"/>
    <w:rsid w:val="226E78E8"/>
    <w:rsid w:val="22F9131A"/>
    <w:rsid w:val="23F51F75"/>
    <w:rsid w:val="247922AB"/>
    <w:rsid w:val="24BD133F"/>
    <w:rsid w:val="2507195A"/>
    <w:rsid w:val="25074D53"/>
    <w:rsid w:val="25EA3A37"/>
    <w:rsid w:val="26496D71"/>
    <w:rsid w:val="265626C3"/>
    <w:rsid w:val="26763B98"/>
    <w:rsid w:val="2800632F"/>
    <w:rsid w:val="28167C05"/>
    <w:rsid w:val="285252EB"/>
    <w:rsid w:val="287B3DDA"/>
    <w:rsid w:val="28AF075C"/>
    <w:rsid w:val="29EC1914"/>
    <w:rsid w:val="2ADD44A1"/>
    <w:rsid w:val="2BB0602A"/>
    <w:rsid w:val="2D272D32"/>
    <w:rsid w:val="2D276006"/>
    <w:rsid w:val="2D625795"/>
    <w:rsid w:val="2DF556E6"/>
    <w:rsid w:val="2EF0258B"/>
    <w:rsid w:val="2F937767"/>
    <w:rsid w:val="2FF46A9E"/>
    <w:rsid w:val="30B036F1"/>
    <w:rsid w:val="330F3C36"/>
    <w:rsid w:val="359E15E2"/>
    <w:rsid w:val="3663231F"/>
    <w:rsid w:val="366D4F01"/>
    <w:rsid w:val="36E75D76"/>
    <w:rsid w:val="38C74D76"/>
    <w:rsid w:val="3A843BCB"/>
    <w:rsid w:val="3AD567EB"/>
    <w:rsid w:val="3B4723C3"/>
    <w:rsid w:val="3B9551F8"/>
    <w:rsid w:val="3C024DA0"/>
    <w:rsid w:val="3CD81619"/>
    <w:rsid w:val="3D1D5DFA"/>
    <w:rsid w:val="3D7071E3"/>
    <w:rsid w:val="3D7F369F"/>
    <w:rsid w:val="3DBB70AA"/>
    <w:rsid w:val="3DFA0EBD"/>
    <w:rsid w:val="3E323286"/>
    <w:rsid w:val="3E911633"/>
    <w:rsid w:val="409944E4"/>
    <w:rsid w:val="40A557D8"/>
    <w:rsid w:val="430A6E5E"/>
    <w:rsid w:val="44244137"/>
    <w:rsid w:val="44275AFE"/>
    <w:rsid w:val="45711242"/>
    <w:rsid w:val="45A12C45"/>
    <w:rsid w:val="46DD3121"/>
    <w:rsid w:val="47086BC4"/>
    <w:rsid w:val="47893A2F"/>
    <w:rsid w:val="49236EBD"/>
    <w:rsid w:val="4A0610AE"/>
    <w:rsid w:val="4B87513B"/>
    <w:rsid w:val="4BFF732B"/>
    <w:rsid w:val="4D627BB7"/>
    <w:rsid w:val="4DB63494"/>
    <w:rsid w:val="4DD47CE0"/>
    <w:rsid w:val="4E2F6BF3"/>
    <w:rsid w:val="4F976567"/>
    <w:rsid w:val="50413AFE"/>
    <w:rsid w:val="51511E62"/>
    <w:rsid w:val="51B2633D"/>
    <w:rsid w:val="51CA20BB"/>
    <w:rsid w:val="529C7064"/>
    <w:rsid w:val="53AF65CE"/>
    <w:rsid w:val="55C03D33"/>
    <w:rsid w:val="58DD5EFD"/>
    <w:rsid w:val="59922A02"/>
    <w:rsid w:val="59A800BF"/>
    <w:rsid w:val="5A062E90"/>
    <w:rsid w:val="5A395D18"/>
    <w:rsid w:val="5B0E19B0"/>
    <w:rsid w:val="5C87779D"/>
    <w:rsid w:val="5DE31A8A"/>
    <w:rsid w:val="5EE47B70"/>
    <w:rsid w:val="5F2E5A50"/>
    <w:rsid w:val="5F6547F1"/>
    <w:rsid w:val="5F693C29"/>
    <w:rsid w:val="62AD6E4A"/>
    <w:rsid w:val="63766BE7"/>
    <w:rsid w:val="63893783"/>
    <w:rsid w:val="64AB7C4B"/>
    <w:rsid w:val="65290FCA"/>
    <w:rsid w:val="652F4D82"/>
    <w:rsid w:val="662D1681"/>
    <w:rsid w:val="677F24F2"/>
    <w:rsid w:val="67CB3027"/>
    <w:rsid w:val="67CD21C7"/>
    <w:rsid w:val="68086CDB"/>
    <w:rsid w:val="6960019F"/>
    <w:rsid w:val="69F763DB"/>
    <w:rsid w:val="6A1B1217"/>
    <w:rsid w:val="6A4E1AAA"/>
    <w:rsid w:val="6BEA5B87"/>
    <w:rsid w:val="6D105407"/>
    <w:rsid w:val="6F171B2E"/>
    <w:rsid w:val="7038463C"/>
    <w:rsid w:val="704740CE"/>
    <w:rsid w:val="70695A53"/>
    <w:rsid w:val="707347C0"/>
    <w:rsid w:val="724B7E97"/>
    <w:rsid w:val="73C42536"/>
    <w:rsid w:val="74130586"/>
    <w:rsid w:val="741F22F6"/>
    <w:rsid w:val="746E4C1D"/>
    <w:rsid w:val="75E91765"/>
    <w:rsid w:val="7A4D04ED"/>
    <w:rsid w:val="7ACF0AF2"/>
    <w:rsid w:val="7B047D56"/>
    <w:rsid w:val="7C6A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numPr>
        <w:ilvl w:val="0"/>
        <w:numId w:val="1"/>
      </w:numPr>
      <w:spacing w:line="380" w:lineRule="atLeast"/>
      <w:ind w:firstLine="540"/>
      <w:outlineLvl w:val="0"/>
    </w:pPr>
    <w:rPr>
      <w:rFonts w:eastAsia="楷体_GB2312"/>
      <w:b/>
      <w:bCs/>
      <w:color w:val="00000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1"/>
    <w:semiHidden/>
    <w:qFormat/>
    <w:uiPriority w:val="0"/>
    <w:pPr>
      <w:shd w:val="clear" w:color="auto" w:fill="000080"/>
    </w:pPr>
  </w:style>
  <w:style w:type="paragraph" w:styleId="4">
    <w:name w:val="annotation text"/>
    <w:basedOn w:val="1"/>
    <w:link w:val="29"/>
    <w:unhideWhenUsed/>
    <w:qFormat/>
    <w:uiPriority w:val="0"/>
    <w:pPr>
      <w:jc w:val="left"/>
    </w:pPr>
  </w:style>
  <w:style w:type="paragraph" w:styleId="5">
    <w:name w:val="Body Text Indent"/>
    <w:basedOn w:val="1"/>
    <w:link w:val="40"/>
    <w:qFormat/>
    <w:uiPriority w:val="0"/>
    <w:pPr>
      <w:spacing w:line="360" w:lineRule="auto"/>
      <w:ind w:left="360"/>
    </w:pPr>
    <w:rPr>
      <w:rFonts w:ascii="宋体"/>
      <w:sz w:val="24"/>
      <w:szCs w:val="20"/>
    </w:rPr>
  </w:style>
  <w:style w:type="paragraph" w:styleId="6">
    <w:name w:val="Date"/>
    <w:basedOn w:val="1"/>
    <w:next w:val="1"/>
    <w:link w:val="32"/>
    <w:qFormat/>
    <w:uiPriority w:val="0"/>
    <w:pPr>
      <w:ind w:left="100" w:leftChars="2500"/>
    </w:pPr>
  </w:style>
  <w:style w:type="paragraph" w:styleId="7">
    <w:name w:val="Body Text Indent 2"/>
    <w:basedOn w:val="1"/>
    <w:link w:val="42"/>
    <w:qFormat/>
    <w:uiPriority w:val="0"/>
    <w:pPr>
      <w:spacing w:after="120" w:line="480" w:lineRule="auto"/>
      <w:ind w:left="420" w:leftChars="200"/>
    </w:pPr>
  </w:style>
  <w:style w:type="paragraph" w:styleId="8">
    <w:name w:val="Balloon Text"/>
    <w:basedOn w:val="1"/>
    <w:link w:val="39"/>
    <w:qFormat/>
    <w:uiPriority w:val="0"/>
    <w:rPr>
      <w:sz w:val="18"/>
      <w:szCs w:val="18"/>
    </w:rPr>
  </w:style>
  <w:style w:type="paragraph" w:styleId="9">
    <w:name w:val="footer"/>
    <w:basedOn w:val="1"/>
    <w:link w:val="35"/>
    <w:qFormat/>
    <w:uiPriority w:val="0"/>
    <w:pPr>
      <w:tabs>
        <w:tab w:val="center" w:pos="4153"/>
        <w:tab w:val="right" w:pos="8306"/>
      </w:tabs>
      <w:snapToGrid w:val="0"/>
      <w:jc w:val="left"/>
    </w:pPr>
    <w:rPr>
      <w:sz w:val="18"/>
      <w:szCs w:val="18"/>
    </w:rPr>
  </w:style>
  <w:style w:type="paragraph" w:styleId="10">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3"/>
    <w:qFormat/>
    <w:uiPriority w:val="0"/>
    <w:pPr>
      <w:spacing w:after="120"/>
      <w:ind w:left="42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unhideWhenUsed/>
    <w:qFormat/>
    <w:uiPriority w:val="0"/>
    <w:rPr>
      <w:sz w:val="21"/>
      <w:szCs w:val="21"/>
    </w:rPr>
  </w:style>
  <w:style w:type="paragraph" w:customStyle="1" w:styleId="19">
    <w:name w:val="_Style 18"/>
    <w:semiHidden/>
    <w:qFormat/>
    <w:uiPriority w:val="99"/>
    <w:rPr>
      <w:rFonts w:ascii="Times New Roman" w:hAnsi="Times New Roman" w:eastAsia="宋体" w:cs="Times New Roman"/>
      <w:kern w:val="2"/>
      <w:sz w:val="21"/>
      <w:szCs w:val="24"/>
      <w:lang w:val="en-US" w:eastAsia="zh-CN" w:bidi="ar-SA"/>
    </w:rPr>
  </w:style>
  <w:style w:type="paragraph" w:customStyle="1" w:styleId="20">
    <w:name w:val="NT二级目录"/>
    <w:basedOn w:val="1"/>
    <w:qFormat/>
    <w:uiPriority w:val="0"/>
    <w:pPr>
      <w:widowControl/>
      <w:numPr>
        <w:ilvl w:val="1"/>
        <w:numId w:val="2"/>
      </w:numPr>
      <w:tabs>
        <w:tab w:val="left" w:pos="720"/>
        <w:tab w:val="clear" w:pos="2160"/>
      </w:tabs>
      <w:spacing w:afterLines="20" w:line="480" w:lineRule="exact"/>
      <w:ind w:left="720" w:hanging="720"/>
    </w:pPr>
    <w:rPr>
      <w:rFonts w:ascii="华文细黑" w:hAnsi="华文细黑" w:eastAsia="华文细黑"/>
      <w:sz w:val="22"/>
      <w:szCs w:val="22"/>
    </w:rPr>
  </w:style>
  <w:style w:type="paragraph" w:customStyle="1" w:styleId="21">
    <w:name w:val="Char"/>
    <w:basedOn w:val="1"/>
    <w:qFormat/>
    <w:uiPriority w:val="0"/>
  </w:style>
  <w:style w:type="paragraph" w:customStyle="1" w:styleId="22">
    <w:name w:val="NT一级目录"/>
    <w:basedOn w:val="1"/>
    <w:qFormat/>
    <w:uiPriority w:val="0"/>
    <w:pPr>
      <w:numPr>
        <w:ilvl w:val="0"/>
        <w:numId w:val="2"/>
      </w:numPr>
      <w:tabs>
        <w:tab w:val="left" w:pos="1080"/>
        <w:tab w:val="clear" w:pos="720"/>
      </w:tabs>
      <w:spacing w:beforeLines="100" w:afterLines="50" w:line="480" w:lineRule="exact"/>
      <w:ind w:left="1077" w:hanging="1077"/>
      <w:outlineLvl w:val="0"/>
    </w:pPr>
    <w:rPr>
      <w:rFonts w:ascii="华文细黑" w:hAnsi="华文细黑" w:eastAsia="华文细黑"/>
      <w:b/>
      <w:sz w:val="22"/>
      <w:szCs w:val="22"/>
    </w:rPr>
  </w:style>
  <w:style w:type="paragraph" w:customStyle="1" w:styleId="23">
    <w:name w:val="默认段落字体 Para Char Char Char Char Char Char Char"/>
    <w:basedOn w:val="1"/>
    <w:qFormat/>
    <w:uiPriority w:val="0"/>
    <w:rPr>
      <w:rFonts w:ascii="Tahoma" w:hAnsi="Tahoma"/>
      <w:sz w:val="24"/>
      <w:szCs w:val="20"/>
    </w:rPr>
  </w:style>
  <w:style w:type="paragraph" w:customStyle="1" w:styleId="24">
    <w:name w:val="NT三级目录"/>
    <w:basedOn w:val="1"/>
    <w:link w:val="26"/>
    <w:qFormat/>
    <w:uiPriority w:val="0"/>
    <w:pPr>
      <w:widowControl/>
      <w:numPr>
        <w:ilvl w:val="2"/>
        <w:numId w:val="2"/>
      </w:numPr>
      <w:tabs>
        <w:tab w:val="left" w:pos="720"/>
        <w:tab w:val="clear" w:pos="1969"/>
      </w:tabs>
      <w:spacing w:afterLines="20" w:line="480" w:lineRule="exact"/>
      <w:ind w:left="720" w:hanging="720"/>
    </w:pPr>
    <w:rPr>
      <w:rFonts w:ascii="华文细黑" w:hAnsi="华文细黑" w:eastAsia="华文细黑"/>
      <w:sz w:val="22"/>
      <w:szCs w:val="22"/>
    </w:rPr>
  </w:style>
  <w:style w:type="paragraph" w:customStyle="1" w:styleId="25">
    <w:name w:val="NT四级目录"/>
    <w:basedOn w:val="24"/>
    <w:qFormat/>
    <w:uiPriority w:val="0"/>
    <w:pPr>
      <w:numPr>
        <w:ilvl w:val="3"/>
      </w:numPr>
      <w:tabs>
        <w:tab w:val="left" w:pos="360"/>
        <w:tab w:val="left" w:pos="1800"/>
        <w:tab w:val="left" w:pos="2160"/>
      </w:tabs>
      <w:ind w:left="1800" w:hanging="1080"/>
    </w:pPr>
  </w:style>
  <w:style w:type="character" w:customStyle="1" w:styleId="26">
    <w:name w:val="NT三级目录 Char Char"/>
    <w:link w:val="24"/>
    <w:qFormat/>
    <w:uiPriority w:val="0"/>
    <w:rPr>
      <w:rFonts w:ascii="华文细黑" w:hAnsi="华文细黑" w:eastAsia="华文细黑"/>
      <w:kern w:val="2"/>
      <w:sz w:val="22"/>
      <w:szCs w:val="22"/>
      <w:lang w:val="en-US" w:eastAsia="zh-CN" w:bidi="ar-SA"/>
    </w:rPr>
  </w:style>
  <w:style w:type="character" w:customStyle="1" w:styleId="27">
    <w:name w:val="批注主题 Char"/>
    <w:link w:val="13"/>
    <w:semiHidden/>
    <w:qFormat/>
    <w:uiPriority w:val="0"/>
    <w:rPr>
      <w:b/>
      <w:bCs/>
      <w:kern w:val="2"/>
      <w:sz w:val="21"/>
      <w:szCs w:val="24"/>
    </w:rPr>
  </w:style>
  <w:style w:type="character" w:customStyle="1" w:styleId="28">
    <w:name w:val="标题 1 Char"/>
    <w:link w:val="2"/>
    <w:qFormat/>
    <w:uiPriority w:val="0"/>
    <w:rPr>
      <w:rFonts w:eastAsia="楷体_GB2312"/>
      <w:b/>
      <w:bCs/>
      <w:color w:val="000000"/>
      <w:kern w:val="2"/>
      <w:sz w:val="24"/>
      <w:szCs w:val="24"/>
      <w:lang w:val="en-US" w:eastAsia="zh-CN" w:bidi="ar-SA"/>
    </w:rPr>
  </w:style>
  <w:style w:type="character" w:customStyle="1" w:styleId="29">
    <w:name w:val="批注文字 Char"/>
    <w:link w:val="4"/>
    <w:semiHidden/>
    <w:qFormat/>
    <w:uiPriority w:val="0"/>
    <w:rPr>
      <w:kern w:val="2"/>
      <w:sz w:val="21"/>
      <w:szCs w:val="24"/>
    </w:rPr>
  </w:style>
  <w:style w:type="paragraph" w:styleId="30">
    <w:name w:val="List Paragraph"/>
    <w:basedOn w:val="1"/>
    <w:unhideWhenUsed/>
    <w:qFormat/>
    <w:uiPriority w:val="99"/>
    <w:pPr>
      <w:ind w:firstLine="420" w:firstLineChars="200"/>
    </w:pPr>
  </w:style>
  <w:style w:type="character" w:customStyle="1" w:styleId="31">
    <w:name w:val="文档结构图 Char"/>
    <w:basedOn w:val="16"/>
    <w:link w:val="3"/>
    <w:semiHidden/>
    <w:qFormat/>
    <w:uiPriority w:val="0"/>
    <w:rPr>
      <w:kern w:val="2"/>
      <w:sz w:val="21"/>
      <w:szCs w:val="24"/>
      <w:shd w:val="clear" w:color="auto" w:fill="000080"/>
    </w:rPr>
  </w:style>
  <w:style w:type="character" w:customStyle="1" w:styleId="32">
    <w:name w:val="日期 Char"/>
    <w:basedOn w:val="16"/>
    <w:link w:val="6"/>
    <w:qFormat/>
    <w:uiPriority w:val="0"/>
    <w:rPr>
      <w:kern w:val="2"/>
      <w:sz w:val="21"/>
      <w:szCs w:val="24"/>
    </w:rPr>
  </w:style>
  <w:style w:type="character" w:customStyle="1" w:styleId="33">
    <w:name w:val="正文文本缩进 3 Char"/>
    <w:basedOn w:val="16"/>
    <w:link w:val="11"/>
    <w:uiPriority w:val="0"/>
    <w:rPr>
      <w:kern w:val="2"/>
      <w:sz w:val="16"/>
      <w:szCs w:val="16"/>
    </w:rPr>
  </w:style>
  <w:style w:type="character" w:customStyle="1" w:styleId="34">
    <w:name w:val="页眉 Char"/>
    <w:basedOn w:val="16"/>
    <w:link w:val="10"/>
    <w:qFormat/>
    <w:uiPriority w:val="0"/>
    <w:rPr>
      <w:kern w:val="2"/>
      <w:sz w:val="18"/>
      <w:szCs w:val="18"/>
    </w:rPr>
  </w:style>
  <w:style w:type="character" w:customStyle="1" w:styleId="35">
    <w:name w:val="页脚 Char"/>
    <w:basedOn w:val="16"/>
    <w:link w:val="9"/>
    <w:qFormat/>
    <w:uiPriority w:val="0"/>
    <w:rPr>
      <w:kern w:val="2"/>
      <w:sz w:val="18"/>
      <w:szCs w:val="18"/>
    </w:rPr>
  </w:style>
  <w:style w:type="paragraph" w:customStyle="1" w:styleId="36">
    <w:name w:val="b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7">
    <w:name w:val="1"/>
    <w:basedOn w:val="1"/>
    <w:next w:val="12"/>
    <w:qFormat/>
    <w:uiPriority w:val="0"/>
    <w:pPr>
      <w:widowControl/>
      <w:spacing w:before="100" w:beforeAutospacing="1" w:after="100" w:afterAutospacing="1"/>
      <w:jc w:val="left"/>
    </w:pPr>
    <w:rPr>
      <w:rFonts w:ascii="宋体" w:hAnsi="宋体"/>
      <w:kern w:val="0"/>
      <w:szCs w:val="21"/>
    </w:rPr>
  </w:style>
  <w:style w:type="paragraph" w:customStyle="1" w:styleId="38">
    <w:name w:val="中文格式"/>
    <w:basedOn w:val="1"/>
    <w:qFormat/>
    <w:uiPriority w:val="0"/>
    <w:pPr>
      <w:autoSpaceDE w:val="0"/>
      <w:autoSpaceDN w:val="0"/>
      <w:adjustRightInd w:val="0"/>
      <w:spacing w:line="360" w:lineRule="auto"/>
      <w:ind w:right="288"/>
      <w:textAlignment w:val="baseline"/>
    </w:pPr>
    <w:rPr>
      <w:rFonts w:ascii="宋体"/>
      <w:kern w:val="0"/>
      <w:sz w:val="24"/>
      <w:szCs w:val="20"/>
    </w:rPr>
  </w:style>
  <w:style w:type="character" w:customStyle="1" w:styleId="39">
    <w:name w:val="批注框文本 Char"/>
    <w:basedOn w:val="16"/>
    <w:link w:val="8"/>
    <w:qFormat/>
    <w:uiPriority w:val="0"/>
    <w:rPr>
      <w:kern w:val="2"/>
      <w:sz w:val="18"/>
      <w:szCs w:val="18"/>
    </w:rPr>
  </w:style>
  <w:style w:type="character" w:customStyle="1" w:styleId="40">
    <w:name w:val="正文文本缩进 Char"/>
    <w:basedOn w:val="16"/>
    <w:link w:val="5"/>
    <w:qFormat/>
    <w:uiPriority w:val="0"/>
    <w:rPr>
      <w:rFonts w:ascii="宋体"/>
      <w:kern w:val="2"/>
      <w:sz w:val="24"/>
    </w:rPr>
  </w:style>
  <w:style w:type="character" w:customStyle="1" w:styleId="41">
    <w:name w:val="NT三级目录 Char"/>
    <w:qFormat/>
    <w:uiPriority w:val="0"/>
    <w:rPr>
      <w:rFonts w:ascii="华文细黑" w:hAnsi="华文细黑" w:eastAsia="华文细黑" w:cs="Times New Roman"/>
      <w:sz w:val="22"/>
    </w:rPr>
  </w:style>
  <w:style w:type="character" w:customStyle="1" w:styleId="42">
    <w:name w:val="正文文本缩进 2 Char"/>
    <w:basedOn w:val="16"/>
    <w:link w:val="7"/>
    <w:qFormat/>
    <w:uiPriority w:val="0"/>
    <w:rPr>
      <w:kern w:val="2"/>
      <w:sz w:val="21"/>
      <w:szCs w:val="24"/>
    </w:rPr>
  </w:style>
  <w:style w:type="paragraph" w:customStyle="1" w:styleId="43">
    <w:name w:val="FWB_L1"/>
    <w:basedOn w:val="1"/>
    <w:next w:val="44"/>
    <w:qFormat/>
    <w:uiPriority w:val="0"/>
    <w:pPr>
      <w:keepNext/>
      <w:keepLines/>
      <w:widowControl/>
      <w:numPr>
        <w:ilvl w:val="0"/>
        <w:numId w:val="3"/>
      </w:numPr>
      <w:spacing w:after="240"/>
      <w:jc w:val="left"/>
      <w:outlineLvl w:val="0"/>
    </w:pPr>
    <w:rPr>
      <w:b/>
      <w:smallCaps/>
      <w:kern w:val="0"/>
      <w:sz w:val="24"/>
      <w:szCs w:val="20"/>
      <w:lang w:val="en-GB" w:eastAsia="en-US"/>
    </w:rPr>
  </w:style>
  <w:style w:type="paragraph" w:customStyle="1" w:styleId="44">
    <w:name w:val="FWB_L2"/>
    <w:basedOn w:val="43"/>
    <w:qFormat/>
    <w:uiPriority w:val="0"/>
    <w:pPr>
      <w:keepNext w:val="0"/>
      <w:keepLines w:val="0"/>
      <w:numPr>
        <w:ilvl w:val="1"/>
      </w:numPr>
      <w:jc w:val="both"/>
      <w:outlineLvl w:val="9"/>
    </w:pPr>
    <w:rPr>
      <w:b w:val="0"/>
      <w:smallCaps w:val="0"/>
    </w:rPr>
  </w:style>
  <w:style w:type="paragraph" w:customStyle="1" w:styleId="45">
    <w:name w:val="FWB_L3"/>
    <w:basedOn w:val="44"/>
    <w:qFormat/>
    <w:uiPriority w:val="0"/>
    <w:pPr>
      <w:numPr>
        <w:ilvl w:val="2"/>
      </w:numPr>
    </w:pPr>
  </w:style>
  <w:style w:type="paragraph" w:customStyle="1" w:styleId="46">
    <w:name w:val="FWB_L4"/>
    <w:basedOn w:val="45"/>
    <w:qFormat/>
    <w:uiPriority w:val="0"/>
    <w:pPr>
      <w:numPr>
        <w:ilvl w:val="3"/>
      </w:numPr>
    </w:pPr>
  </w:style>
  <w:style w:type="paragraph" w:customStyle="1" w:styleId="47">
    <w:name w:val="FWB_L5"/>
    <w:basedOn w:val="46"/>
    <w:qFormat/>
    <w:uiPriority w:val="0"/>
    <w:pPr>
      <w:numPr>
        <w:ilvl w:val="4"/>
      </w:numPr>
    </w:pPr>
  </w:style>
  <w:style w:type="paragraph" w:customStyle="1" w:styleId="48">
    <w:name w:val="FWB_L6"/>
    <w:basedOn w:val="47"/>
    <w:qFormat/>
    <w:uiPriority w:val="0"/>
    <w:pPr>
      <w:numPr>
        <w:ilvl w:val="5"/>
      </w:numPr>
    </w:pPr>
  </w:style>
  <w:style w:type="paragraph" w:customStyle="1" w:styleId="49">
    <w:name w:val="FWB_L7"/>
    <w:basedOn w:val="48"/>
    <w:qFormat/>
    <w:uiPriority w:val="0"/>
    <w:pPr>
      <w:numPr>
        <w:ilvl w:val="6"/>
      </w:numPr>
    </w:pPr>
  </w:style>
  <w:style w:type="paragraph" w:customStyle="1" w:styleId="50">
    <w:name w:val="FWB_L8"/>
    <w:basedOn w:val="49"/>
    <w:qFormat/>
    <w:uiPriority w:val="0"/>
    <w:pPr>
      <w:numPr>
        <w:ilvl w:val="7"/>
      </w:numPr>
    </w:pPr>
  </w:style>
  <w:style w:type="paragraph" w:customStyle="1" w:styleId="51">
    <w:name w:val="正文样式"/>
    <w:basedOn w:val="1"/>
    <w:qFormat/>
    <w:uiPriority w:val="0"/>
    <w:pPr>
      <w:ind w:left="-3" w:leftChars="-1"/>
    </w:pPr>
    <w:rPr>
      <w:rFonts w:ascii="仿宋_GB2312" w:eastAsia="仿宋_GB2312"/>
      <w:color w:val="000000"/>
      <w:spacing w:val="6"/>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5153</Words>
  <Characters>29378</Characters>
  <Lines>244</Lines>
  <Paragraphs>68</Paragraphs>
  <TotalTime>3</TotalTime>
  <ScaleCrop>false</ScaleCrop>
  <LinksUpToDate>false</LinksUpToDate>
  <CharactersWithSpaces>34463</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2018-10-08T02:24:00Z</dcterms:created>
  <dc:creator>孟新</dc:creator>
  <cp:lastModifiedBy>hongl</cp:lastModifiedBy>
  <cp:lastPrinted>2020-12-15T03:04:00Z</cp:lastPrinted>
  <dcterms:modified xsi:type="dcterms:W3CDTF">2021-02-08T04:45:54Z</dcterms:modified>
  <dc:title>编号：中长资（　　）合字［　　］      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