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939" w:firstLineChars="1226"/>
        <w:jc w:val="both"/>
        <w:rPr>
          <w:rFonts w:hint="eastAsia" w:ascii="宋体" w:hAnsi="宋体"/>
          <w:b/>
          <w:bCs/>
          <w:color w:val="000000"/>
          <w:sz w:val="32"/>
          <w:szCs w:val="32"/>
        </w:rPr>
      </w:pPr>
      <w:bookmarkStart w:id="0" w:name="OLE_LINK1"/>
      <w:r>
        <w:rPr>
          <w:rFonts w:hint="eastAsia" w:ascii="宋体" w:hAnsi="宋体"/>
          <w:b/>
          <w:bCs/>
          <w:color w:val="000000"/>
          <w:sz w:val="32"/>
          <w:szCs w:val="32"/>
        </w:rPr>
        <w:t>拍 卖 规 则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一、本拍卖规则依据《中华人民共和国拍卖法》、《中华人民共和国民法通则》、《中华人民共和国合同法》等相关法律法规和“公开、公平、公正、诚实信用”原则及价高者得规则制定。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480" w:firstLineChars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二、本场拍卖会采用洪力共享拍卖平台（公众号：洪力，电脑端：www.honglipai.net）进行，竞买人应自行注册网络拍卖平台账号，竞买人参加本场拍卖会即视为同意认可本拍卖规则和竞买协议内容。由于网络环境因素，网络拍卖过程中，如遇不可抗力，包括但不限于网络不通畅、网络拍卖平台出现故障、黑客攻击等事由可能会出现信息中断、竞价时间不完整、图文变异、系统瘫痪、竞买人无法在网上出价等情形，导致拍卖会无法正常进行，拍卖人有权延迟和（或）暂停另行举行拍卖会。若竞价记录可以恢复的，重新启动拍卖后，起始价为网络中断时的最高有效报价；若竞价记录无法恢复的，起拍价为标的起始价。如个别竞买人自身操作问题导致无法参加竞买的，由竞买人自负其责。委托人和拍卖人不承担任何责任。通过洪力共享拍卖平台进行网络拍卖的竞买人，承诺已经对可能发生的故障有充分准备，并放弃因此类故障要求委托人和拍卖人承担任何赔偿责任。竞买人应保管好自己的账号和密码，凡在洪力共享拍卖平台上以竞买人的帐号和密码登陆后进行的操作，均被视为竞买人的行为，竞买人应当对以其帐号进行的所有活动和事件负法律责任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三、本场拍卖会的拍卖标的为</w:t>
      </w:r>
      <w:r>
        <w:rPr>
          <w:rFonts w:hint="default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中国长城资产管理股份有限公司山东省分公司拥有的</w:t>
      </w:r>
      <w:r>
        <w:rPr>
          <w:rFonts w:hint="default" w:ascii="宋体" w:hAnsi="宋体" w:eastAsia="宋体" w:cs="宋体"/>
          <w:b/>
          <w:bCs/>
          <w:sz w:val="24"/>
          <w:szCs w:val="24"/>
          <w:u w:val="single"/>
          <w:lang w:eastAsia="zh-CN"/>
        </w:rPr>
        <w:t>齐鲁特钢有限公司、齐鲁工程装备有限公司两户债权(详见拍卖清单)，目前两户</w:t>
      </w:r>
      <w:r>
        <w:rPr>
          <w:rFonts w:hint="default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企业破产重整草案已由</w:t>
      </w:r>
      <w:r>
        <w:rPr>
          <w:rFonts w:hint="default" w:ascii="宋体" w:hAnsi="宋体" w:eastAsia="宋体" w:cs="宋体"/>
          <w:b/>
          <w:bCs/>
          <w:sz w:val="24"/>
          <w:szCs w:val="24"/>
          <w:u w:val="single"/>
          <w:lang w:eastAsia="zh-CN"/>
        </w:rPr>
        <w:t>兖州</w:t>
      </w:r>
      <w:r>
        <w:rPr>
          <w:rFonts w:hint="default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区人民法院裁定通过，已进入重整执行期</w:t>
      </w:r>
      <w:r>
        <w:rPr>
          <w:rFonts w:hint="default" w:ascii="宋体" w:hAnsi="宋体" w:eastAsia="宋体" w:cs="宋体"/>
          <w:b/>
          <w:bCs/>
          <w:sz w:val="24"/>
          <w:szCs w:val="24"/>
          <w:u w:val="single"/>
          <w:lang w:eastAsia="zh-CN"/>
        </w:rPr>
        <w:t>，截止2020年12月23日，债权总额合计697,468,795.18元，其中：本金</w:t>
      </w:r>
      <w:r>
        <w:rPr>
          <w:rFonts w:hint="default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合计</w:t>
      </w:r>
      <w:r>
        <w:rPr>
          <w:rFonts w:hint="default" w:ascii="宋体" w:hAnsi="宋体" w:eastAsia="宋体" w:cs="宋体"/>
          <w:b/>
          <w:bCs/>
          <w:sz w:val="24"/>
          <w:szCs w:val="24"/>
          <w:u w:val="single"/>
          <w:lang w:eastAsia="zh-CN"/>
        </w:rPr>
        <w:t>613,598,199.35元、利息</w:t>
      </w:r>
      <w:r>
        <w:rPr>
          <w:rFonts w:hint="default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合计</w:t>
      </w:r>
      <w:r>
        <w:rPr>
          <w:rFonts w:hint="default" w:ascii="宋体" w:hAnsi="宋体" w:eastAsia="宋体" w:cs="宋体"/>
          <w:b/>
          <w:bCs/>
          <w:sz w:val="24"/>
          <w:szCs w:val="24"/>
          <w:u w:val="single"/>
          <w:lang w:eastAsia="zh-CN"/>
        </w:rPr>
        <w:t>83,870,595.83元(2020年12月23日之后产生的利息，以及与不良贷款债权相关的从权利亦在本次拍卖范围内)</w:t>
      </w:r>
      <w:r>
        <w:rPr>
          <w:rFonts w:hint="default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，现状拍卖。最终债权金额、担保等情况以委托人与买受人签署的《债权转让协议》和双方移交材料为准，拍卖人提供的相关资料仅供参考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textAlignment w:val="auto"/>
        <w:rPr>
          <w:rFonts w:hint="eastAsia" w:ascii="微软雅黑" w:hAnsi="微软雅黑" w:eastAsia="宋体" w:cs="微软雅黑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四、本次拍卖按拍卖标的实物现状进行，拍卖人已知的标的瑕疵已经告知竞买人，拍卖人不承担瑕疵担保责任，竞买人须于拍卖会前自行认真了解标的情况，自行核对标的相关信息，拍卖人提供的拍卖标的的相关资料仅供参考，由于竞买人对标的了解不彻底所造成的损失与拍卖人、委托人无关，委托人和拍卖人对以上事项不承担任何责任和费用。买受人的竞买保证金转为部分拍卖成交价款，不再退还。竞买不成功的，保证金在拍卖会后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3个工作日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内退还，不计息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5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五、本次拍卖以增价方本次拍卖以增价方式进行。拍卖师有权临时调整加价幅度。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5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六、本次拍卖设保留价，竞买人的最高应价达不到保留价时不能成交。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5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七、拍卖成交后，买受人须在拍卖成交当日与拍卖人签订《拍卖成交确认书》，未能签署的不影响成交效力，以网络拍卖平台确认为准。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40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八、拍卖成交后，买受人需在拍卖成交之日起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3个工作日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内将全部拍卖成交价款支付到指定的帐户，并与委托人签署《债权转让协议》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乙方应在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拍卖成交之日起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bookmarkStart w:id="1" w:name="_GoBack"/>
      <w:bookmarkEnd w:id="1"/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个工作日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将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拍卖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佣金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汇入甲方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指定的帐户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九、买受人有下列行为之一的，视为违约：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1、网络成交后，买受人反悔的；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2、买受人逾期或拒绝签订《成交确认书》、《债权转让协议》的；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3、买受人逾期或拒绝按照《成交确认书》的约定支付拍卖成交价款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及佣金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的。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买受人违约的，委托人和拍卖人有权取消其买受人资格，并有权不予返还其竞买保证金。因买受人违约，委托人另行出让该标的的，买受人还须根据《中华人民共和国拍卖法》第三十九条第二款之规定承担责任：拍卖标的再行拍卖的，原买受人应当支付第一次拍卖中本人及委托人应当支付的佣金，再行拍卖的价款低于原拍卖价款的，原买受人应当补足差额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十、买受人付清拍卖成交价款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及佣金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后，方可获取拍卖标的，由委托人与买受人直接交接，且以标的现状交付。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55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十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、本《拍卖规则》解释权归光彩银星拍卖有限公司。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竞买人已经在展示时间内认真查看了上述拍卖标的，了解标的一切现状，愿意按照标的的现状参加竞买，对标的展示无异议，认可、接受本《拍卖规则》的一切内容，并收到了本《拍卖规则》。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napToGrid/>
        <w:spacing w:line="500" w:lineRule="exact"/>
        <w:ind w:firstLine="482" w:firstLineChars="200"/>
        <w:jc w:val="left"/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竞买人（盖章）：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left"/>
        <w:textAlignment w:val="auto"/>
        <w:outlineLvl w:val="9"/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法定代表人：</w:t>
      </w:r>
      <w:r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或委托代理人（签名）：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right"/>
        <w:textAlignment w:val="auto"/>
        <w:outlineLvl w:val="9"/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right"/>
        <w:textAlignment w:val="auto"/>
        <w:outlineLvl w:val="9"/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right"/>
        <w:textAlignment w:val="auto"/>
        <w:outlineLvl w:val="9"/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right"/>
        <w:textAlignment w:val="auto"/>
        <w:outlineLvl w:val="9"/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光彩银星拍卖有限公司 </w:t>
      </w:r>
    </w:p>
    <w:p>
      <w:pPr>
        <w:ind w:firstLine="560" w:firstLineChars="200"/>
        <w:jc w:val="right"/>
        <w:rPr>
          <w:rFonts w:hint="eastAsia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2021年2月5日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 xml:space="preserve"> </w:t>
      </w:r>
      <w:r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bookmarkEnd w:id="0"/>
    </w:p>
    <w:sectPr>
      <w:headerReference r:id="rId3" w:type="default"/>
      <w:footerReference r:id="rId4" w:type="even"/>
      <w:pgSz w:w="11906" w:h="16838"/>
      <w:pgMar w:top="991" w:right="1081" w:bottom="947" w:left="1165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  <w:r>
      <w:rPr>
        <w:rFonts w:hint="eastAsia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A2395"/>
    <w:rsid w:val="00AE233D"/>
    <w:rsid w:val="00F64EF0"/>
    <w:rsid w:val="02AF1D28"/>
    <w:rsid w:val="0385359F"/>
    <w:rsid w:val="04014823"/>
    <w:rsid w:val="048316F3"/>
    <w:rsid w:val="04F87B2A"/>
    <w:rsid w:val="05C81FBC"/>
    <w:rsid w:val="067F08FD"/>
    <w:rsid w:val="06893D04"/>
    <w:rsid w:val="07301B33"/>
    <w:rsid w:val="07DE5025"/>
    <w:rsid w:val="08914EF3"/>
    <w:rsid w:val="09E45ACF"/>
    <w:rsid w:val="0A603B75"/>
    <w:rsid w:val="0A635A27"/>
    <w:rsid w:val="0A84791F"/>
    <w:rsid w:val="0AAA5A38"/>
    <w:rsid w:val="0C4E2BB0"/>
    <w:rsid w:val="0CCB71DE"/>
    <w:rsid w:val="0CFF139B"/>
    <w:rsid w:val="0D3C294A"/>
    <w:rsid w:val="0DB967DB"/>
    <w:rsid w:val="0DD76853"/>
    <w:rsid w:val="10EC3455"/>
    <w:rsid w:val="12D92771"/>
    <w:rsid w:val="172511D3"/>
    <w:rsid w:val="1733612F"/>
    <w:rsid w:val="17BF6828"/>
    <w:rsid w:val="182E1E94"/>
    <w:rsid w:val="187F1529"/>
    <w:rsid w:val="18DA01BF"/>
    <w:rsid w:val="1B0C61E2"/>
    <w:rsid w:val="1B405B91"/>
    <w:rsid w:val="1BA00982"/>
    <w:rsid w:val="1BD821C9"/>
    <w:rsid w:val="1C901686"/>
    <w:rsid w:val="1CA84CCA"/>
    <w:rsid w:val="1EEA2886"/>
    <w:rsid w:val="1F4320CE"/>
    <w:rsid w:val="1F587512"/>
    <w:rsid w:val="1F9A2CE3"/>
    <w:rsid w:val="201B5713"/>
    <w:rsid w:val="205A56BD"/>
    <w:rsid w:val="21C35BAA"/>
    <w:rsid w:val="221A449A"/>
    <w:rsid w:val="22497819"/>
    <w:rsid w:val="22563396"/>
    <w:rsid w:val="22AF5B64"/>
    <w:rsid w:val="22FF766C"/>
    <w:rsid w:val="23383A2C"/>
    <w:rsid w:val="23730E85"/>
    <w:rsid w:val="242E24DC"/>
    <w:rsid w:val="24894950"/>
    <w:rsid w:val="25863755"/>
    <w:rsid w:val="261847C7"/>
    <w:rsid w:val="265A5AD5"/>
    <w:rsid w:val="285C17EC"/>
    <w:rsid w:val="28A52C94"/>
    <w:rsid w:val="28CC43F0"/>
    <w:rsid w:val="2C926EF8"/>
    <w:rsid w:val="2D4C18D0"/>
    <w:rsid w:val="2D862465"/>
    <w:rsid w:val="2DD93923"/>
    <w:rsid w:val="2E0802C5"/>
    <w:rsid w:val="2E344C05"/>
    <w:rsid w:val="2E5E3276"/>
    <w:rsid w:val="2F5312A2"/>
    <w:rsid w:val="308D4317"/>
    <w:rsid w:val="30AC0358"/>
    <w:rsid w:val="30AC207D"/>
    <w:rsid w:val="30F31E4D"/>
    <w:rsid w:val="31614E9C"/>
    <w:rsid w:val="34D71581"/>
    <w:rsid w:val="36203E85"/>
    <w:rsid w:val="36500FCC"/>
    <w:rsid w:val="37387C94"/>
    <w:rsid w:val="39242E96"/>
    <w:rsid w:val="3969123A"/>
    <w:rsid w:val="3C4F5DCE"/>
    <w:rsid w:val="3CCF0362"/>
    <w:rsid w:val="3D5D5C28"/>
    <w:rsid w:val="3DB630F2"/>
    <w:rsid w:val="3EC15928"/>
    <w:rsid w:val="3FDC3784"/>
    <w:rsid w:val="407B776B"/>
    <w:rsid w:val="40CA336D"/>
    <w:rsid w:val="42390C4C"/>
    <w:rsid w:val="427F27FB"/>
    <w:rsid w:val="43DD537B"/>
    <w:rsid w:val="44367803"/>
    <w:rsid w:val="44521830"/>
    <w:rsid w:val="44B64AA4"/>
    <w:rsid w:val="45AC504A"/>
    <w:rsid w:val="46B52DAC"/>
    <w:rsid w:val="4727286F"/>
    <w:rsid w:val="47D95691"/>
    <w:rsid w:val="48316BCD"/>
    <w:rsid w:val="48BB28F5"/>
    <w:rsid w:val="49522183"/>
    <w:rsid w:val="49547170"/>
    <w:rsid w:val="49F91996"/>
    <w:rsid w:val="4B5F3E20"/>
    <w:rsid w:val="4C825254"/>
    <w:rsid w:val="4D531834"/>
    <w:rsid w:val="4D781468"/>
    <w:rsid w:val="4E8F3C84"/>
    <w:rsid w:val="4EE8157F"/>
    <w:rsid w:val="508D4606"/>
    <w:rsid w:val="50B93EB1"/>
    <w:rsid w:val="50BE54B7"/>
    <w:rsid w:val="51E8387D"/>
    <w:rsid w:val="521438BA"/>
    <w:rsid w:val="54020070"/>
    <w:rsid w:val="55CF367F"/>
    <w:rsid w:val="56377E31"/>
    <w:rsid w:val="56A039E6"/>
    <w:rsid w:val="57012BD2"/>
    <w:rsid w:val="5708388D"/>
    <w:rsid w:val="5726074A"/>
    <w:rsid w:val="587B6098"/>
    <w:rsid w:val="59174676"/>
    <w:rsid w:val="593B104D"/>
    <w:rsid w:val="597F7BCF"/>
    <w:rsid w:val="5AEA091F"/>
    <w:rsid w:val="5BCB7EDE"/>
    <w:rsid w:val="5BFE4B6D"/>
    <w:rsid w:val="5C057000"/>
    <w:rsid w:val="5C1E1110"/>
    <w:rsid w:val="5C5B34A8"/>
    <w:rsid w:val="5C7F41B3"/>
    <w:rsid w:val="5C836238"/>
    <w:rsid w:val="5CD965D6"/>
    <w:rsid w:val="5D2255D9"/>
    <w:rsid w:val="5D3600A3"/>
    <w:rsid w:val="5D447242"/>
    <w:rsid w:val="5D823D53"/>
    <w:rsid w:val="5D9A4840"/>
    <w:rsid w:val="5DCA14BC"/>
    <w:rsid w:val="5EB30786"/>
    <w:rsid w:val="5F382043"/>
    <w:rsid w:val="5F8F6EFD"/>
    <w:rsid w:val="60F352BD"/>
    <w:rsid w:val="62332BA5"/>
    <w:rsid w:val="62625FBF"/>
    <w:rsid w:val="630920CD"/>
    <w:rsid w:val="63B86326"/>
    <w:rsid w:val="65603FBA"/>
    <w:rsid w:val="65C46A55"/>
    <w:rsid w:val="66144BF5"/>
    <w:rsid w:val="6622572D"/>
    <w:rsid w:val="662E2B92"/>
    <w:rsid w:val="679601EE"/>
    <w:rsid w:val="68833A85"/>
    <w:rsid w:val="68F26432"/>
    <w:rsid w:val="69375DE8"/>
    <w:rsid w:val="6A4249E8"/>
    <w:rsid w:val="6A9928BD"/>
    <w:rsid w:val="6AF456DC"/>
    <w:rsid w:val="6F11494C"/>
    <w:rsid w:val="713D786D"/>
    <w:rsid w:val="71752F89"/>
    <w:rsid w:val="73951CAC"/>
    <w:rsid w:val="73B4632E"/>
    <w:rsid w:val="75250F8C"/>
    <w:rsid w:val="75D80883"/>
    <w:rsid w:val="765E6165"/>
    <w:rsid w:val="76860860"/>
    <w:rsid w:val="76AF4D57"/>
    <w:rsid w:val="772B2ADC"/>
    <w:rsid w:val="7787567B"/>
    <w:rsid w:val="784E46E3"/>
    <w:rsid w:val="79A92AEA"/>
    <w:rsid w:val="7A9D0A25"/>
    <w:rsid w:val="7AE14333"/>
    <w:rsid w:val="7D0A744E"/>
    <w:rsid w:val="7DA87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sz w:val="28"/>
      <w:szCs w:val="24"/>
    </w:rPr>
  </w:style>
  <w:style w:type="paragraph" w:styleId="3">
    <w:name w:val="Body Text Indent"/>
    <w:basedOn w:val="1"/>
    <w:qFormat/>
    <w:uiPriority w:val="0"/>
    <w:pPr>
      <w:ind w:left="-178" w:leftChars="-85" w:firstLine="178" w:firstLineChars="74"/>
    </w:pPr>
    <w:rPr>
      <w:rFonts w:ascii="宋体" w:hAnsi="宋体"/>
      <w:sz w:val="24"/>
      <w:szCs w:val="24"/>
    </w:rPr>
  </w:style>
  <w:style w:type="paragraph" w:styleId="4">
    <w:name w:val="Body Text Indent 2"/>
    <w:basedOn w:val="1"/>
    <w:qFormat/>
    <w:uiPriority w:val="0"/>
    <w:pPr>
      <w:ind w:firstLine="538" w:firstLineChars="192"/>
    </w:pPr>
    <w:rPr>
      <w:rFonts w:ascii="宋体" w:hAnsi="宋体"/>
      <w:sz w:val="28"/>
      <w:szCs w:val="24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560" w:firstLineChars="200"/>
    </w:pPr>
    <w:rPr>
      <w:rFonts w:ascii="宋体" w:hAnsi="宋体"/>
      <w:sz w:val="28"/>
      <w:szCs w:val="24"/>
    </w:rPr>
  </w:style>
  <w:style w:type="paragraph" w:styleId="9">
    <w:name w:val="Body Text 2"/>
    <w:basedOn w:val="1"/>
    <w:qFormat/>
    <w:uiPriority w:val="0"/>
    <w:pPr>
      <w:spacing w:after="120" w:afterLines="0" w:line="480" w:lineRule="auto"/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kkk</Company>
  <Pages>1</Pages>
  <Words>275</Words>
  <Characters>1568</Characters>
  <Lines>13</Lines>
  <Paragraphs>3</Paragraphs>
  <TotalTime>17</TotalTime>
  <ScaleCrop>false</ScaleCrop>
  <LinksUpToDate>false</LinksUpToDate>
  <CharactersWithSpaces>1840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2007-06-19T01:14:00Z</dcterms:created>
  <dc:creator>ww</dc:creator>
  <cp:lastModifiedBy>hongl</cp:lastModifiedBy>
  <cp:lastPrinted>2020-04-14T07:03:00Z</cp:lastPrinted>
  <dcterms:modified xsi:type="dcterms:W3CDTF">2021-02-08T03:55:00Z</dcterms:modified>
  <dc:title>拍卖规则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