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eastAsia="宋体" w:cs="Times New Roman"/>
          <w:szCs w:val="21"/>
        </w:rPr>
      </w:pPr>
      <w:r>
        <w:rPr>
          <w:rFonts w:hint="eastAsia" w:ascii="仿宋_GB2312" w:hAnsi="宋体" w:eastAsia="仿宋_GB2312"/>
          <w:b/>
          <w:color w:val="auto"/>
          <w:sz w:val="30"/>
          <w:szCs w:val="30"/>
          <w:lang w:eastAsia="zh-CN"/>
        </w:rPr>
        <w:t>附件四：</w:t>
      </w:r>
    </w:p>
    <w:p>
      <w:pPr>
        <w:ind w:firstLine="0" w:firstLineChars="0"/>
        <w:rPr>
          <w:rFonts w:ascii="宋体" w:hAnsi="宋体" w:eastAsia="宋体" w:cs="Times New Roman"/>
          <w:i w:val="0"/>
          <w:iCs w:val="0"/>
          <w:color w:val="auto"/>
          <w:szCs w:val="21"/>
        </w:rPr>
      </w:pPr>
    </w:p>
    <w:p>
      <w:pPr>
        <w:ind w:firstLine="3990" w:firstLineChars="1900"/>
        <w:rPr>
          <w:rFonts w:ascii="宋体" w:hAnsi="宋体" w:eastAsia="宋体" w:cs="Times New Roman"/>
          <w:i w:val="0"/>
          <w:iCs w:val="0"/>
          <w:color w:val="auto"/>
          <w:szCs w:val="21"/>
        </w:rPr>
      </w:pPr>
      <w:r>
        <w:rPr>
          <w:rFonts w:hint="eastAsia" w:ascii="宋体" w:hAnsi="宋体" w:eastAsia="宋体" w:cs="Times New Roman"/>
          <w:i w:val="0"/>
          <w:iCs w:val="0"/>
          <w:color w:val="auto"/>
          <w:szCs w:val="21"/>
        </w:rPr>
        <w:t>编号：中长资（鲁）合字［　　］      号　　</w:t>
      </w:r>
    </w:p>
    <w:p>
      <w:pPr>
        <w:ind w:firstLine="360"/>
        <w:rPr>
          <w:rFonts w:ascii="宋体" w:hAnsi="宋体" w:eastAsia="宋体" w:cs="Times New Roman"/>
          <w:i w:val="0"/>
          <w:iCs w:val="0"/>
          <w:color w:val="auto"/>
          <w:szCs w:val="21"/>
        </w:rPr>
      </w:pPr>
    </w:p>
    <w:p>
      <w:pPr>
        <w:ind w:firstLine="360"/>
        <w:jc w:val="center"/>
        <w:rPr>
          <w:rFonts w:ascii="宋体" w:hAnsi="宋体" w:eastAsia="宋体" w:cs="Times New Roman"/>
          <w:i w:val="0"/>
          <w:iCs w:val="0"/>
          <w:color w:val="auto"/>
          <w:sz w:val="32"/>
          <w:szCs w:val="32"/>
        </w:rPr>
      </w:pPr>
    </w:p>
    <w:p>
      <w:pPr>
        <w:ind w:firstLine="360"/>
        <w:jc w:val="center"/>
        <w:rPr>
          <w:rFonts w:ascii="宋体" w:hAnsi="宋体" w:eastAsia="宋体" w:cs="Times New Roman"/>
          <w:i w:val="0"/>
          <w:iCs w:val="0"/>
          <w:color w:val="auto"/>
          <w:sz w:val="32"/>
          <w:szCs w:val="32"/>
        </w:rPr>
      </w:pPr>
    </w:p>
    <w:p>
      <w:pPr>
        <w:ind w:firstLine="360"/>
        <w:jc w:val="center"/>
        <w:rPr>
          <w:rFonts w:ascii="仿宋_GB2312" w:hAnsi="宋体" w:eastAsia="仿宋_GB2312" w:cs="Times New Roman"/>
          <w:b/>
          <w:i w:val="0"/>
          <w:iCs w:val="0"/>
          <w:color w:val="auto"/>
          <w:sz w:val="36"/>
          <w:szCs w:val="36"/>
        </w:rPr>
      </w:pPr>
      <w:r>
        <w:rPr>
          <w:rFonts w:hint="eastAsia" w:ascii="仿宋_GB2312" w:hAnsi="宋体" w:eastAsia="仿宋_GB2312" w:cs="Times New Roman"/>
          <w:b/>
          <w:i w:val="0"/>
          <w:iCs w:val="0"/>
          <w:color w:val="auto"/>
          <w:sz w:val="36"/>
          <w:szCs w:val="36"/>
        </w:rPr>
        <w:t>中国长城资产管理股份有限公司</w:t>
      </w:r>
    </w:p>
    <w:p>
      <w:pPr>
        <w:ind w:firstLine="360"/>
        <w:jc w:val="center"/>
        <w:outlineLvl w:val="0"/>
        <w:rPr>
          <w:rFonts w:ascii="仿宋_GB2312" w:hAnsi="宋体" w:eastAsia="仿宋_GB2312" w:cs="Times New Roman"/>
          <w:b/>
          <w:i w:val="0"/>
          <w:iCs w:val="0"/>
          <w:color w:val="auto"/>
          <w:sz w:val="36"/>
          <w:szCs w:val="36"/>
        </w:rPr>
      </w:pPr>
      <w:r>
        <w:rPr>
          <w:rFonts w:hint="eastAsia" w:ascii="仿宋_GB2312" w:hAnsi="宋体" w:eastAsia="仿宋_GB2312" w:cs="Times New Roman"/>
          <w:b/>
          <w:i w:val="0"/>
          <w:iCs w:val="0"/>
          <w:color w:val="auto"/>
          <w:sz w:val="36"/>
          <w:szCs w:val="36"/>
        </w:rPr>
        <w:t>【　山东省　　】分公司与【　　　　　】</w:t>
      </w: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jc w:val="center"/>
        <w:rPr>
          <w:rFonts w:ascii="宋体" w:hAnsi="宋体" w:eastAsia="宋体" w:cs="Times New Roman"/>
          <w:b/>
          <w:i w:val="0"/>
          <w:iCs w:val="0"/>
          <w:color w:val="auto"/>
          <w:sz w:val="72"/>
          <w:szCs w:val="72"/>
        </w:rPr>
      </w:pPr>
      <w:bookmarkStart w:id="5" w:name="_GoBack"/>
      <w:r>
        <w:rPr>
          <w:rFonts w:hint="eastAsia" w:ascii="宋体" w:hAnsi="宋体" w:eastAsia="宋体" w:cs="Times New Roman"/>
          <w:b/>
          <w:i w:val="0"/>
          <w:iCs w:val="0"/>
          <w:color w:val="auto"/>
          <w:sz w:val="72"/>
          <w:szCs w:val="72"/>
        </w:rPr>
        <w:t>债权转让协议</w:t>
      </w:r>
      <w:bookmarkEnd w:id="5"/>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0"/>
        <w:rPr>
          <w:rFonts w:ascii="宋体" w:hAnsi="宋体" w:eastAsia="宋体" w:cs="Times New Roman"/>
          <w:i w:val="0"/>
          <w:iCs w:val="0"/>
          <w:color w:val="auto"/>
          <w:sz w:val="18"/>
          <w:szCs w:val="18"/>
        </w:rPr>
      </w:pPr>
    </w:p>
    <w:p>
      <w:pPr>
        <w:ind w:firstLine="360"/>
        <w:jc w:val="center"/>
        <w:rPr>
          <w:rFonts w:ascii="宋体" w:hAnsi="宋体" w:eastAsia="宋体" w:cs="Times New Roman"/>
          <w:i w:val="0"/>
          <w:iCs w:val="0"/>
          <w:color w:val="auto"/>
          <w:sz w:val="28"/>
          <w:szCs w:val="28"/>
        </w:rPr>
      </w:pPr>
      <w:r>
        <w:rPr>
          <w:rFonts w:hint="eastAsia" w:ascii="宋体" w:hAnsi="宋体" w:eastAsia="宋体" w:cs="Times New Roman"/>
          <w:i w:val="0"/>
          <w:iCs w:val="0"/>
          <w:color w:val="auto"/>
          <w:sz w:val="28"/>
          <w:szCs w:val="28"/>
        </w:rPr>
        <w:t>【　　　】年【　　　】月【　　　】日</w:t>
      </w: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ind w:firstLine="360"/>
        <w:rPr>
          <w:rFonts w:ascii="宋体" w:hAnsi="宋体" w:eastAsia="宋体" w:cs="Times New Roman"/>
          <w:i w:val="0"/>
          <w:iCs w:val="0"/>
          <w:color w:val="auto"/>
          <w:sz w:val="18"/>
          <w:szCs w:val="18"/>
        </w:rPr>
      </w:pPr>
    </w:p>
    <w:p>
      <w:pPr>
        <w:spacing w:line="380" w:lineRule="atLeast"/>
        <w:jc w:val="center"/>
        <w:rPr>
          <w:rFonts w:ascii="仿宋_GB2312" w:hAnsi="Times New Roman" w:eastAsia="仿宋_GB2312" w:cs="Times New Roman"/>
          <w:b/>
          <w:i w:val="0"/>
          <w:iCs w:val="0"/>
          <w:color w:val="auto"/>
          <w:sz w:val="44"/>
          <w:szCs w:val="44"/>
        </w:rPr>
      </w:pPr>
      <w:r>
        <w:rPr>
          <w:rFonts w:ascii="仿宋_GB2312" w:hAnsi="Times New Roman" w:eastAsia="仿宋_GB2312" w:cs="Times New Roman"/>
          <w:b/>
          <w:i w:val="0"/>
          <w:iCs w:val="0"/>
          <w:color w:val="auto"/>
          <w:sz w:val="44"/>
          <w:szCs w:val="44"/>
        </w:rPr>
        <w:t>债权转让</w:t>
      </w:r>
      <w:r>
        <w:rPr>
          <w:rFonts w:hint="eastAsia" w:ascii="仿宋_GB2312" w:hAnsi="Times New Roman" w:eastAsia="仿宋_GB2312" w:cs="Times New Roman"/>
          <w:b/>
          <w:i w:val="0"/>
          <w:iCs w:val="0"/>
          <w:color w:val="auto"/>
          <w:sz w:val="44"/>
          <w:szCs w:val="44"/>
        </w:rPr>
        <w:t>协议</w:t>
      </w:r>
    </w:p>
    <w:p>
      <w:pPr>
        <w:spacing w:line="360" w:lineRule="auto"/>
        <w:rPr>
          <w:rFonts w:ascii="仿宋_GB2312" w:hAnsi="Times New Roman" w:eastAsia="仿宋_GB2312" w:cs="Times New Roman"/>
          <w:i w:val="0"/>
          <w:iCs w:val="0"/>
          <w:color w:val="auto"/>
          <w:sz w:val="24"/>
          <w:szCs w:val="24"/>
        </w:rPr>
      </w:pPr>
    </w:p>
    <w:p>
      <w:pPr>
        <w:spacing w:line="360" w:lineRule="auto"/>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本协议由以下双方于</w:t>
      </w:r>
      <w:r>
        <w:rPr>
          <w:rFonts w:ascii="楷体_GB2312" w:hAnsi="Times New Roman" w:eastAsia="楷体_GB2312" w:cs="Times New Roman"/>
          <w:i w:val="0"/>
          <w:iCs w:val="0"/>
          <w:color w:val="auto"/>
          <w:sz w:val="24"/>
          <w:szCs w:val="24"/>
          <w:u w:val="single"/>
        </w:rPr>
        <w:t xml:space="preserve">    </w:t>
      </w:r>
      <w:r>
        <w:rPr>
          <w:rFonts w:ascii="楷体_GB2312" w:hAnsi="Times New Roman" w:eastAsia="楷体_GB2312" w:cs="Times New Roman"/>
          <w:i w:val="0"/>
          <w:iCs w:val="0"/>
          <w:color w:val="auto"/>
          <w:sz w:val="24"/>
          <w:szCs w:val="24"/>
        </w:rPr>
        <w:t>年</w:t>
      </w:r>
      <w:r>
        <w:rPr>
          <w:rFonts w:ascii="楷体_GB2312" w:hAnsi="Times New Roman" w:eastAsia="楷体_GB2312" w:cs="Times New Roman"/>
          <w:i w:val="0"/>
          <w:iCs w:val="0"/>
          <w:color w:val="auto"/>
          <w:sz w:val="24"/>
          <w:szCs w:val="24"/>
          <w:u w:val="single"/>
        </w:rPr>
        <w:t xml:space="preserve">    </w:t>
      </w:r>
      <w:r>
        <w:rPr>
          <w:rFonts w:ascii="楷体_GB2312" w:hAnsi="Times New Roman" w:eastAsia="楷体_GB2312" w:cs="Times New Roman"/>
          <w:i w:val="0"/>
          <w:iCs w:val="0"/>
          <w:color w:val="auto"/>
          <w:sz w:val="24"/>
          <w:szCs w:val="24"/>
        </w:rPr>
        <w:t>月</w:t>
      </w:r>
      <w:r>
        <w:rPr>
          <w:rFonts w:ascii="楷体_GB2312" w:hAnsi="Times New Roman" w:eastAsia="楷体_GB2312" w:cs="Times New Roman"/>
          <w:i w:val="0"/>
          <w:iCs w:val="0"/>
          <w:color w:val="auto"/>
          <w:sz w:val="24"/>
          <w:szCs w:val="24"/>
          <w:u w:val="single"/>
        </w:rPr>
        <w:t xml:space="preserve">    </w:t>
      </w:r>
      <w:r>
        <w:rPr>
          <w:rFonts w:ascii="楷体_GB2312" w:hAnsi="Times New Roman" w:eastAsia="楷体_GB2312" w:cs="Times New Roman"/>
          <w:i w:val="0"/>
          <w:iCs w:val="0"/>
          <w:color w:val="auto"/>
          <w:sz w:val="24"/>
          <w:szCs w:val="24"/>
        </w:rPr>
        <w:t>日在</w:t>
      </w:r>
      <w:r>
        <w:rPr>
          <w:rFonts w:ascii="楷体_GB2312" w:hAnsi="Times New Roman" w:eastAsia="楷体_GB2312" w:cs="Times New Roman"/>
          <w:i w:val="0"/>
          <w:iCs w:val="0"/>
          <w:color w:val="auto"/>
          <w:sz w:val="24"/>
          <w:szCs w:val="24"/>
          <w:u w:val="single"/>
        </w:rPr>
        <w:t xml:space="preserve">    </w:t>
      </w:r>
      <w:r>
        <w:rPr>
          <w:rFonts w:ascii="楷体_GB2312" w:hAnsi="Times New Roman" w:eastAsia="楷体_GB2312" w:cs="Times New Roman"/>
          <w:i w:val="0"/>
          <w:iCs w:val="0"/>
          <w:color w:val="auto"/>
          <w:sz w:val="24"/>
          <w:szCs w:val="24"/>
        </w:rPr>
        <w:t>签署：</w:t>
      </w:r>
    </w:p>
    <w:p>
      <w:pPr>
        <w:spacing w:after="240" w:line="380" w:lineRule="atLeast"/>
        <w:ind w:right="480"/>
        <w:rPr>
          <w:rFonts w:ascii="Times New Roman" w:hAnsi="Times New Roman" w:eastAsia="仿宋_GB2312" w:cs="Times New Roman"/>
          <w:i w:val="0"/>
          <w:iCs w:val="0"/>
          <w:color w:val="auto"/>
          <w:sz w:val="24"/>
          <w:szCs w:val="24"/>
        </w:rPr>
      </w:pPr>
    </w:p>
    <w:p>
      <w:pPr>
        <w:spacing w:line="360" w:lineRule="auto"/>
        <w:rPr>
          <w:rFonts w:ascii="Times New Roman" w:hAnsi="Times New Roman" w:eastAsia="仿宋_GB2312" w:cs="Times New Roman"/>
          <w:b/>
          <w:bCs/>
          <w:i w:val="0"/>
          <w:iCs w:val="0"/>
          <w:color w:val="auto"/>
          <w:sz w:val="24"/>
          <w:szCs w:val="24"/>
        </w:rPr>
      </w:pPr>
      <w:r>
        <w:rPr>
          <w:rFonts w:ascii="Times New Roman" w:hAnsi="Times New Roman" w:eastAsia="仿宋_GB2312" w:cs="Times New Roman"/>
          <w:b/>
          <w:bCs/>
          <w:i w:val="0"/>
          <w:iCs w:val="0"/>
          <w:color w:val="auto"/>
          <w:sz w:val="24"/>
          <w:szCs w:val="24"/>
        </w:rPr>
        <w:t>甲      方：中国长城资产管理股份有限公司</w:t>
      </w:r>
      <w:r>
        <w:rPr>
          <w:rFonts w:hint="eastAsia" w:ascii="Times New Roman" w:hAnsi="Times New Roman" w:eastAsia="仿宋_GB2312" w:cs="Times New Roman"/>
          <w:b/>
          <w:bCs/>
          <w:i w:val="0"/>
          <w:iCs w:val="0"/>
          <w:color w:val="auto"/>
          <w:sz w:val="24"/>
          <w:szCs w:val="24"/>
        </w:rPr>
        <w:t>山东省</w:t>
      </w:r>
      <w:r>
        <w:rPr>
          <w:rFonts w:ascii="Times New Roman" w:hAnsi="Times New Roman" w:eastAsia="仿宋_GB2312" w:cs="Times New Roman"/>
          <w:b/>
          <w:bCs/>
          <w:i w:val="0"/>
          <w:iCs w:val="0"/>
          <w:color w:val="auto"/>
          <w:sz w:val="24"/>
          <w:szCs w:val="24"/>
        </w:rPr>
        <w:t>分公司（转让方）</w:t>
      </w:r>
    </w:p>
    <w:p>
      <w:pPr>
        <w:spacing w:line="360" w:lineRule="auto"/>
        <w:rPr>
          <w:rFonts w:ascii="楷体_GB2312" w:eastAsia="楷体_GB2312"/>
          <w:i w:val="0"/>
          <w:iCs w:val="0"/>
          <w:color w:val="auto"/>
          <w:sz w:val="24"/>
        </w:rPr>
      </w:pPr>
      <w:r>
        <w:rPr>
          <w:rFonts w:hint="eastAsia" w:ascii="楷体_GB2312" w:eastAsia="楷体_GB2312"/>
          <w:i w:val="0"/>
          <w:iCs w:val="0"/>
          <w:color w:val="auto"/>
          <w:sz w:val="24"/>
        </w:rPr>
        <w:t xml:space="preserve">负  责  人：郭小霞                </w:t>
      </w:r>
    </w:p>
    <w:p>
      <w:pPr>
        <w:spacing w:line="360" w:lineRule="auto"/>
        <w:rPr>
          <w:rFonts w:ascii="楷体_GB2312" w:eastAsia="楷体_GB2312"/>
          <w:i w:val="0"/>
          <w:iCs w:val="0"/>
          <w:color w:val="auto"/>
          <w:sz w:val="24"/>
        </w:rPr>
      </w:pPr>
      <w:r>
        <w:rPr>
          <w:rFonts w:hint="eastAsia" w:ascii="楷体_GB2312" w:eastAsia="楷体_GB2312"/>
          <w:i w:val="0"/>
          <w:iCs w:val="0"/>
          <w:color w:val="auto"/>
          <w:sz w:val="24"/>
        </w:rPr>
        <w:t>地      址：济南市经七路168号    邮政编码：250001</w:t>
      </w:r>
    </w:p>
    <w:p>
      <w:pPr>
        <w:spacing w:line="360" w:lineRule="auto"/>
        <w:rPr>
          <w:rFonts w:ascii="楷体_GB2312" w:eastAsia="楷体_GB2312"/>
          <w:i w:val="0"/>
          <w:iCs w:val="0"/>
          <w:color w:val="auto"/>
          <w:sz w:val="24"/>
        </w:rPr>
      </w:pPr>
      <w:r>
        <w:rPr>
          <w:rFonts w:hint="eastAsia" w:ascii="楷体_GB2312" w:eastAsia="楷体_GB2312"/>
          <w:i w:val="0"/>
          <w:iCs w:val="0"/>
          <w:color w:val="auto"/>
          <w:sz w:val="24"/>
        </w:rPr>
        <w:t>电      话：0531-8207</w:t>
      </w:r>
      <w:r>
        <w:rPr>
          <w:rFonts w:ascii="楷体_GB2312" w:eastAsia="楷体_GB2312"/>
          <w:i w:val="0"/>
          <w:iCs w:val="0"/>
          <w:color w:val="auto"/>
          <w:sz w:val="24"/>
        </w:rPr>
        <w:t>9610</w:t>
      </w:r>
      <w:r>
        <w:rPr>
          <w:rFonts w:hint="eastAsia" w:ascii="楷体_GB2312" w:eastAsia="楷体_GB2312"/>
          <w:i w:val="0"/>
          <w:iCs w:val="0"/>
          <w:color w:val="auto"/>
          <w:sz w:val="24"/>
        </w:rPr>
        <w:t xml:space="preserve">         传    真：0531-82079799</w:t>
      </w:r>
    </w:p>
    <w:p>
      <w:pPr>
        <w:spacing w:line="360" w:lineRule="auto"/>
        <w:rPr>
          <w:rFonts w:ascii="Times New Roman" w:hAnsi="Times New Roman" w:eastAsia="仿宋_GB2312" w:cs="Times New Roman"/>
          <w:i w:val="0"/>
          <w:iCs w:val="0"/>
          <w:color w:val="auto"/>
          <w:sz w:val="24"/>
          <w:szCs w:val="24"/>
        </w:rPr>
      </w:pPr>
    </w:p>
    <w:p>
      <w:pPr>
        <w:spacing w:line="360" w:lineRule="auto"/>
        <w:rPr>
          <w:rFonts w:ascii="Times New Roman" w:hAnsi="Times New Roman" w:eastAsia="仿宋_GB2312" w:cs="Times New Roman"/>
          <w:b/>
          <w:bCs/>
          <w:i w:val="0"/>
          <w:iCs w:val="0"/>
          <w:color w:val="auto"/>
          <w:sz w:val="24"/>
          <w:szCs w:val="24"/>
        </w:rPr>
      </w:pPr>
      <w:r>
        <w:rPr>
          <w:rFonts w:ascii="Times New Roman" w:hAnsi="Times New Roman" w:eastAsia="仿宋_GB2312" w:cs="Times New Roman"/>
          <w:b/>
          <w:bCs/>
          <w:i w:val="0"/>
          <w:iCs w:val="0"/>
          <w:color w:val="auto"/>
          <w:sz w:val="24"/>
          <w:szCs w:val="24"/>
        </w:rPr>
        <w:t>乙      方：</w:t>
      </w:r>
      <w:r>
        <w:rPr>
          <w:rFonts w:ascii="Times New Roman" w:hAnsi="Times New Roman" w:eastAsia="仿宋_GB2312" w:cs="Times New Roman"/>
          <w:b/>
          <w:bCs/>
          <w:i w:val="0"/>
          <w:iCs w:val="0"/>
          <w:color w:val="auto"/>
          <w:sz w:val="24"/>
          <w:szCs w:val="24"/>
          <w:u w:val="single"/>
        </w:rPr>
        <w:t xml:space="preserve">                               </w:t>
      </w:r>
      <w:r>
        <w:rPr>
          <w:rFonts w:ascii="Times New Roman" w:hAnsi="Times New Roman" w:eastAsia="仿宋_GB2312" w:cs="Times New Roman"/>
          <w:b/>
          <w:bCs/>
          <w:i w:val="0"/>
          <w:iCs w:val="0"/>
          <w:color w:val="auto"/>
          <w:sz w:val="24"/>
          <w:szCs w:val="24"/>
        </w:rPr>
        <w:t>（受让方）</w:t>
      </w:r>
    </w:p>
    <w:p>
      <w:pPr>
        <w:spacing w:line="360" w:lineRule="auto"/>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 xml:space="preserve">法定代表人：                  职    务： </w:t>
      </w:r>
    </w:p>
    <w:p>
      <w:pPr>
        <w:spacing w:line="360" w:lineRule="auto"/>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地      址：                  邮政编码：</w:t>
      </w:r>
    </w:p>
    <w:p>
      <w:pPr>
        <w:spacing w:line="360" w:lineRule="auto"/>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电      话：                  传    真：</w:t>
      </w:r>
    </w:p>
    <w:p>
      <w:pPr>
        <w:spacing w:line="360" w:lineRule="auto"/>
        <w:rPr>
          <w:rFonts w:ascii="仿宋_GB2312" w:hAnsi="Times New Roman" w:eastAsia="仿宋_GB2312" w:cs="Times New Roman"/>
          <w:i w:val="0"/>
          <w:iCs w:val="0"/>
          <w:color w:val="auto"/>
          <w:sz w:val="24"/>
          <w:szCs w:val="24"/>
        </w:rPr>
      </w:pPr>
    </w:p>
    <w:p>
      <w:pPr>
        <w:spacing w:line="360" w:lineRule="auto"/>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鉴于：</w:t>
      </w:r>
    </w:p>
    <w:p>
      <w:pPr>
        <w:spacing w:line="360" w:lineRule="auto"/>
        <w:ind w:firstLine="480" w:firstLineChars="200"/>
        <w:rPr>
          <w:rFonts w:ascii="楷体_GB2312" w:hAnsi="Times New Roman" w:eastAsia="楷体_GB2312" w:cs="Times New Roman"/>
          <w:i w:val="0"/>
          <w:iCs w:val="0"/>
          <w:color w:val="auto"/>
          <w:sz w:val="24"/>
          <w:szCs w:val="24"/>
          <w:shd w:val="pct10" w:color="auto" w:fill="FFFFFF"/>
        </w:rPr>
      </w:pPr>
      <w:r>
        <w:rPr>
          <w:rFonts w:hint="eastAsia" w:ascii="楷体_GB2312" w:hAnsi="Times New Roman" w:eastAsia="楷体_GB2312" w:cs="Times New Roman"/>
          <w:i w:val="0"/>
          <w:iCs w:val="0"/>
          <w:color w:val="auto"/>
          <w:sz w:val="24"/>
          <w:szCs w:val="24"/>
        </w:rPr>
        <w:t>1、甲方作为国有控股金融资产管理股份有限公司的分支机构，依法享有本协议附件一《贷款债权明细表》项下借款人</w:t>
      </w:r>
      <w:r>
        <w:rPr>
          <w:rFonts w:hint="eastAsia" w:ascii="楷体_GB2312" w:eastAsia="楷体_GB2312"/>
          <w:i w:val="0"/>
          <w:iCs w:val="0"/>
          <w:color w:val="auto"/>
          <w:sz w:val="24"/>
          <w:lang w:eastAsia="zh-CN"/>
        </w:rPr>
        <w:t>山东省富泰新型建材有限公司等2户</w:t>
      </w:r>
      <w:r>
        <w:rPr>
          <w:rFonts w:hint="eastAsia" w:ascii="楷体_GB2312" w:hAnsi="Times New Roman" w:eastAsia="楷体_GB2312" w:cs="Times New Roman"/>
          <w:i w:val="0"/>
          <w:iCs w:val="0"/>
          <w:color w:val="auto"/>
          <w:sz w:val="24"/>
          <w:szCs w:val="24"/>
        </w:rPr>
        <w:t>的金融债权资产及其附属权益（统称贷款债权，见第1.3款定义）；</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2、甲方根据有关法律、法规及政府部门的规定，采取拍卖转让方式转让贷款债权；</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highlight w:val="none"/>
        </w:rPr>
        <w:t>3、乙</w:t>
      </w:r>
      <w:r>
        <w:rPr>
          <w:rFonts w:hint="eastAsia" w:ascii="楷体_GB2312" w:hAnsi="Times New Roman" w:eastAsia="楷体_GB2312" w:cs="Times New Roman"/>
          <w:i w:val="0"/>
          <w:iCs w:val="0"/>
          <w:color w:val="auto"/>
          <w:sz w:val="24"/>
          <w:szCs w:val="24"/>
        </w:rPr>
        <w:t>方确认其已按照</w:t>
      </w:r>
      <w:r>
        <w:rPr>
          <w:rFonts w:hint="eastAsia" w:ascii="楷体_GB2312" w:eastAsia="楷体_GB2312"/>
          <w:i w:val="0"/>
          <w:iCs w:val="0"/>
          <w:color w:val="auto"/>
          <w:sz w:val="24"/>
          <w:u w:val="single"/>
        </w:rPr>
        <w:t>光彩银星拍卖有限公司</w:t>
      </w:r>
      <w:r>
        <w:rPr>
          <w:rFonts w:hint="eastAsia" w:ascii="楷体_GB2312" w:hAnsi="Times New Roman" w:eastAsia="楷体_GB2312" w:cs="Times New Roman"/>
          <w:i w:val="0"/>
          <w:iCs w:val="0"/>
          <w:color w:val="auto"/>
          <w:sz w:val="24"/>
          <w:szCs w:val="24"/>
          <w:u w:val="single"/>
        </w:rPr>
        <w:t>（</w:t>
      </w:r>
      <w:r>
        <w:rPr>
          <w:rFonts w:hint="eastAsia" w:ascii="楷体_GB2312" w:hAnsi="Times New Roman" w:eastAsia="楷体_GB2312" w:cs="Times New Roman"/>
          <w:i w:val="0"/>
          <w:iCs w:val="0"/>
          <w:color w:val="auto"/>
          <w:sz w:val="24"/>
          <w:szCs w:val="24"/>
        </w:rPr>
        <w:t>以下简称“拍卖机构”）制订的拍卖规则，对本协议项下贷款债权实施了其认为必要的尽职调查，并确认甲方和拍卖人已向其充分披露了贷款债权存在或可能存在的瑕疵与风险，乙方自主决定参加该贷款债权的拍卖活动；</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4、乙方凭借其在</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年</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月</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日在</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举行的拍卖活动中的最高应价，被确认为本次拍卖方式转让贷款债权的最终买受人；</w:t>
      </w:r>
    </w:p>
    <w:p>
      <w:pPr>
        <w:snapToGrid w:val="0"/>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5、乙方声明并保证，乙方自愿独立承担贷款债权的瑕疵、风险和预期利益无法实现的风险，乙方保证不因任何原因主张协议无效或要求撤销本协议或要求甲方回购或要求甲方及甲方前手权利人承担赔偿责任。</w:t>
      </w:r>
    </w:p>
    <w:p>
      <w:pPr>
        <w:snapToGrid w:val="0"/>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在此基础上，为进一步明确双方之间的权利义务关系，甲乙双方在平等自愿、友好协商的基础上，就债权转让相关的事宜达成如下协议，供双方共同遵守： </w:t>
      </w:r>
    </w:p>
    <w:p>
      <w:pPr>
        <w:snapToGrid w:val="0"/>
        <w:spacing w:line="360" w:lineRule="auto"/>
        <w:ind w:firstLine="480" w:firstLineChars="200"/>
        <w:rPr>
          <w:rFonts w:ascii="仿宋_GB2312" w:hAnsi="Times New Roman" w:eastAsia="仿宋_GB2312" w:cs="Times New Roman"/>
          <w:i w:val="0"/>
          <w:iCs w:val="0"/>
          <w:color w:val="auto"/>
          <w:sz w:val="24"/>
          <w:szCs w:val="24"/>
        </w:rPr>
      </w:pPr>
    </w:p>
    <w:p>
      <w:pPr>
        <w:snapToGrid w:val="0"/>
        <w:spacing w:line="360" w:lineRule="auto"/>
        <w:ind w:firstLine="472" w:firstLineChars="196"/>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第一条  定义</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本协议中的下列词语具有定义所指的特定涵义，协议正文另有规定的除外：</w:t>
      </w:r>
    </w:p>
    <w:p>
      <w:pPr>
        <w:snapToGrid w:val="0"/>
        <w:spacing w:line="360" w:lineRule="auto"/>
        <w:ind w:firstLine="470" w:firstLineChars="196"/>
        <w:rPr>
          <w:rFonts w:ascii="仿宋_GB2312" w:hAnsi="Times New Roman" w:eastAsia="仿宋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1.1 </w:t>
      </w:r>
      <w:r>
        <w:rPr>
          <w:rFonts w:hint="eastAsia" w:ascii="仿宋_GB2312" w:hAnsi="Times New Roman" w:eastAsia="仿宋_GB2312" w:cs="Times New Roman"/>
          <w:b/>
          <w:i w:val="0"/>
          <w:iCs w:val="0"/>
          <w:color w:val="auto"/>
          <w:sz w:val="24"/>
          <w:szCs w:val="24"/>
        </w:rPr>
        <w:t>主债权</w:t>
      </w:r>
      <w:r>
        <w:rPr>
          <w:rFonts w:hint="eastAsia" w:ascii="仿宋_GB2312" w:hAnsi="Times New Roman" w:eastAsia="仿宋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指甲方对《贷款债权明细表》所列示的主债务人享有的并依法可向乙方转让的贷款本金及利息。</w:t>
      </w:r>
    </w:p>
    <w:p>
      <w:pPr>
        <w:snapToGrid w:val="0"/>
        <w:spacing w:line="360" w:lineRule="auto"/>
        <w:ind w:firstLine="470" w:firstLineChars="196"/>
        <w:rPr>
          <w:rFonts w:ascii="仿宋_GB2312" w:hAnsi="Times New Roman" w:eastAsia="仿宋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1.2 </w:t>
      </w:r>
      <w:r>
        <w:rPr>
          <w:rFonts w:hint="eastAsia" w:ascii="仿宋_GB2312" w:hAnsi="Times New Roman" w:eastAsia="仿宋_GB2312" w:cs="Times New Roman"/>
          <w:b/>
          <w:i w:val="0"/>
          <w:iCs w:val="0"/>
          <w:color w:val="auto"/>
          <w:sz w:val="24"/>
          <w:szCs w:val="24"/>
        </w:rPr>
        <w:t>担保权利：</w:t>
      </w:r>
      <w:r>
        <w:rPr>
          <w:rFonts w:hint="eastAsia" w:ascii="楷体_GB2312" w:hAnsi="Times New Roman" w:eastAsia="楷体_GB2312" w:cs="Times New Roman"/>
          <w:i w:val="0"/>
          <w:iCs w:val="0"/>
          <w:color w:val="auto"/>
          <w:sz w:val="24"/>
          <w:szCs w:val="24"/>
        </w:rPr>
        <w:t>指与主债权相关的保证债权、抵押权、质押权等附属权利。</w:t>
      </w:r>
    </w:p>
    <w:p>
      <w:pPr>
        <w:snapToGrid w:val="0"/>
        <w:spacing w:line="360" w:lineRule="auto"/>
        <w:ind w:firstLine="470" w:firstLineChars="196"/>
        <w:rPr>
          <w:rFonts w:ascii="楷体_GB2312" w:hAnsi="Times New Roman" w:eastAsia="楷体_GB2312" w:cs="Times New Roman"/>
          <w:i w:val="0"/>
          <w:iCs w:val="0"/>
          <w:color w:val="auto"/>
          <w:sz w:val="24"/>
          <w:szCs w:val="24"/>
          <w:highlight w:val="none"/>
        </w:rPr>
      </w:pPr>
      <w:r>
        <w:rPr>
          <w:rFonts w:hint="eastAsia" w:ascii="仿宋_GB2312" w:hAnsi="Times New Roman" w:eastAsia="仿宋_GB2312" w:cs="Times New Roman"/>
          <w:i w:val="0"/>
          <w:iCs w:val="0"/>
          <w:color w:val="auto"/>
          <w:sz w:val="24"/>
          <w:szCs w:val="24"/>
        </w:rPr>
        <w:t xml:space="preserve">1.3 </w:t>
      </w:r>
      <w:r>
        <w:rPr>
          <w:rFonts w:hint="eastAsia" w:ascii="仿宋_GB2312" w:hAnsi="Times New Roman" w:eastAsia="仿宋_GB2312" w:cs="Times New Roman"/>
          <w:b/>
          <w:i w:val="0"/>
          <w:iCs w:val="0"/>
          <w:color w:val="auto"/>
          <w:sz w:val="24"/>
          <w:szCs w:val="24"/>
        </w:rPr>
        <w:t>贷款债权</w:t>
      </w:r>
      <w:r>
        <w:rPr>
          <w:rFonts w:hint="eastAsia" w:ascii="仿宋_GB2312" w:hAnsi="Times New Roman" w:eastAsia="仿宋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指作为本协议标的的主债权、担保权利以及由此派生或与此相关的其他权益的统称</w:t>
      </w:r>
      <w:r>
        <w:rPr>
          <w:rFonts w:hint="eastAsia" w:ascii="楷体_GB2312" w:hAnsi="Times New Roman" w:eastAsia="楷体_GB2312" w:cs="Times New Roman"/>
          <w:i w:val="0"/>
          <w:iCs w:val="0"/>
          <w:color w:val="auto"/>
          <w:sz w:val="24"/>
          <w:szCs w:val="24"/>
          <w:highlight w:val="none"/>
        </w:rPr>
        <w:t>（包括甲方已垫付的诉讼费用或自前手债权人承继的诉讼费用权益）。</w:t>
      </w:r>
    </w:p>
    <w:p>
      <w:pPr>
        <w:snapToGrid w:val="0"/>
        <w:spacing w:line="360" w:lineRule="auto"/>
        <w:ind w:firstLine="470" w:firstLineChars="196"/>
        <w:rPr>
          <w:rFonts w:ascii="仿宋_GB2312" w:hAnsi="Times New Roman" w:eastAsia="仿宋_GB2312" w:cs="Times New Roman"/>
          <w:i w:val="0"/>
          <w:iCs w:val="0"/>
          <w:color w:val="auto"/>
          <w:sz w:val="24"/>
          <w:szCs w:val="24"/>
        </w:rPr>
      </w:pPr>
      <w:r>
        <w:rPr>
          <w:rFonts w:ascii="楷体_GB2312" w:hAnsi="Times New Roman" w:eastAsia="楷体_GB2312" w:cs="Times New Roman"/>
          <w:i w:val="0"/>
          <w:iCs w:val="0"/>
          <w:color w:val="auto"/>
          <w:sz w:val="24"/>
          <w:szCs w:val="24"/>
          <w:highlight w:val="none"/>
        </w:rPr>
        <w:t xml:space="preserve">1.4 </w:t>
      </w:r>
      <w:r>
        <w:rPr>
          <w:rFonts w:hint="eastAsia" w:ascii="楷体_GB2312" w:hAnsi="Times New Roman" w:eastAsia="楷体_GB2312" w:cs="Times New Roman"/>
          <w:b/>
          <w:i w:val="0"/>
          <w:iCs w:val="0"/>
          <w:color w:val="auto"/>
          <w:sz w:val="24"/>
          <w:szCs w:val="24"/>
          <w:highlight w:val="none"/>
        </w:rPr>
        <w:t>转让价款</w:t>
      </w:r>
      <w:r>
        <w:rPr>
          <w:rFonts w:hint="eastAsia" w:ascii="楷体_GB2312" w:hAnsi="Times New Roman" w:eastAsia="楷体_GB2312" w:cs="Times New Roman"/>
          <w:i w:val="0"/>
          <w:iCs w:val="0"/>
          <w:color w:val="auto"/>
          <w:sz w:val="24"/>
          <w:szCs w:val="24"/>
          <w:highlight w:val="none"/>
        </w:rPr>
        <w:t>：指乙方与拍卖机构签署的《拍卖成</w:t>
      </w:r>
      <w:r>
        <w:rPr>
          <w:rFonts w:hint="eastAsia" w:ascii="楷体_GB2312" w:hAnsi="Times New Roman" w:eastAsia="楷体_GB2312" w:cs="Times New Roman"/>
          <w:i w:val="0"/>
          <w:iCs w:val="0"/>
          <w:color w:val="auto"/>
          <w:sz w:val="24"/>
          <w:szCs w:val="24"/>
        </w:rPr>
        <w:t>交确认书》中确认的乙方应直接支付给甲方的受让贷款债权的价格。</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1.5 </w:t>
      </w:r>
      <w:r>
        <w:rPr>
          <w:rFonts w:hint="eastAsia" w:ascii="仿宋_GB2312" w:hAnsi="Times New Roman" w:eastAsia="仿宋_GB2312" w:cs="Times New Roman"/>
          <w:b/>
          <w:i w:val="0"/>
          <w:iCs w:val="0"/>
          <w:color w:val="auto"/>
          <w:sz w:val="24"/>
          <w:szCs w:val="24"/>
        </w:rPr>
        <w:t>贷款债权证明文件：</w:t>
      </w:r>
      <w:r>
        <w:rPr>
          <w:rFonts w:hint="eastAsia" w:ascii="楷体_GB2312" w:hAnsi="Times New Roman" w:eastAsia="楷体_GB2312" w:cs="Times New Roman"/>
          <w:i w:val="0"/>
          <w:iCs w:val="0"/>
          <w:color w:val="auto"/>
          <w:sz w:val="24"/>
          <w:szCs w:val="24"/>
        </w:rPr>
        <w:t>指甲方在基准日实际持有的、且将于交割日移交给乙方的，与主张和行使贷款债权有关的法律文件（原件或复印件），限于贷款合同、借据、担保合同、抵（质）押担保权利凭证、判决书、调解书、裁定书、和解协议、债务重组协议、以物（股权）抵债协议、抵债资产权属证书或证明、破产债权申报书、逾期贷款催收通知书、甲方与前手权利人的分户债权转让协议、债权转让暨催收公告等（贷款债权中各借款人项下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ascii="楷体_GB2312" w:hAnsi="Times New Roman" w:eastAsia="楷体_GB2312" w:cs="Times New Roman"/>
          <w:i w:val="0"/>
          <w:iCs w:val="0"/>
          <w:color w:val="auto"/>
          <w:sz w:val="24"/>
          <w:szCs w:val="24"/>
        </w:rPr>
      </w:pPr>
      <w:r>
        <w:rPr>
          <w:rFonts w:hint="eastAsia" w:ascii="仿宋_GB2312" w:hAnsi="Times New Roman" w:eastAsia="仿宋_GB2312" w:cs="Times New Roman"/>
          <w:b/>
          <w:i w:val="0"/>
          <w:iCs w:val="0"/>
          <w:color w:val="auto"/>
          <w:sz w:val="24"/>
          <w:szCs w:val="24"/>
        </w:rPr>
        <w:t>1.6 基准日：</w:t>
      </w:r>
      <w:r>
        <w:rPr>
          <w:rFonts w:hint="eastAsia" w:ascii="楷体_GB2312" w:hAnsi="Times New Roman" w:eastAsia="楷体_GB2312" w:cs="Times New Roman"/>
          <w:i w:val="0"/>
          <w:iCs w:val="0"/>
          <w:color w:val="auto"/>
          <w:sz w:val="24"/>
          <w:szCs w:val="24"/>
        </w:rPr>
        <w:t>指甲方确定且为乙方认可的计算贷款债权项下主债权本金、利息余额的截止日，</w:t>
      </w:r>
      <w:r>
        <w:rPr>
          <w:rFonts w:hint="eastAsia" w:ascii="楷体_GB2312" w:eastAsia="楷体_GB2312"/>
          <w:i w:val="0"/>
          <w:iCs w:val="0"/>
          <w:color w:val="auto"/>
          <w:sz w:val="24"/>
        </w:rPr>
        <w:t>即</w:t>
      </w:r>
      <w:r>
        <w:rPr>
          <w:rFonts w:hint="eastAsia" w:ascii="楷体_GB2312" w:eastAsia="楷体_GB2312"/>
          <w:i w:val="0"/>
          <w:iCs w:val="0"/>
          <w:color w:val="auto"/>
          <w:sz w:val="24"/>
          <w:u w:val="single"/>
          <w:lang w:eastAsia="zh-CN"/>
        </w:rPr>
        <w:t>2020年11月30日</w:t>
      </w:r>
      <w:r>
        <w:rPr>
          <w:rFonts w:hint="eastAsia" w:ascii="楷体_GB2312" w:hAnsi="Times New Roman" w:eastAsia="楷体_GB2312" w:cs="Times New Roman"/>
          <w:i w:val="0"/>
          <w:iCs w:val="0"/>
          <w:color w:val="auto"/>
          <w:sz w:val="24"/>
          <w:szCs w:val="24"/>
        </w:rPr>
        <w:t>。</w:t>
      </w:r>
    </w:p>
    <w:p>
      <w:pPr>
        <w:snapToGrid w:val="0"/>
        <w:spacing w:line="360" w:lineRule="auto"/>
        <w:ind w:firstLine="470" w:firstLineChars="196"/>
        <w:rPr>
          <w:rFonts w:ascii="仿宋_GB2312" w:hAnsi="Times New Roman" w:eastAsia="仿宋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1.7 </w:t>
      </w:r>
      <w:r>
        <w:rPr>
          <w:rFonts w:hint="eastAsia" w:ascii="仿宋_GB2312" w:hAnsi="Times New Roman" w:eastAsia="仿宋_GB2312" w:cs="Times New Roman"/>
          <w:b/>
          <w:i w:val="0"/>
          <w:iCs w:val="0"/>
          <w:color w:val="auto"/>
          <w:sz w:val="24"/>
          <w:szCs w:val="24"/>
        </w:rPr>
        <w:t>报价日：</w:t>
      </w:r>
      <w:r>
        <w:rPr>
          <w:rFonts w:hint="eastAsia" w:ascii="楷体_GB2312" w:hAnsi="Times New Roman" w:eastAsia="楷体_GB2312" w:cs="Times New Roman"/>
          <w:i w:val="0"/>
          <w:iCs w:val="0"/>
          <w:color w:val="auto"/>
          <w:sz w:val="24"/>
          <w:szCs w:val="24"/>
        </w:rPr>
        <w:t>指乙方在拍卖活动中所报最高应价的日期，即</w:t>
      </w:r>
      <w:r>
        <w:rPr>
          <w:rFonts w:hint="eastAsia"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年</w:t>
      </w:r>
      <w:r>
        <w:rPr>
          <w:rFonts w:hint="eastAsia"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月</w:t>
      </w:r>
      <w:r>
        <w:rPr>
          <w:rFonts w:hint="eastAsia"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日。</w:t>
      </w:r>
    </w:p>
    <w:p>
      <w:pPr>
        <w:snapToGrid w:val="0"/>
        <w:spacing w:line="360" w:lineRule="auto"/>
        <w:ind w:firstLine="470" w:firstLineChars="196"/>
        <w:rPr>
          <w:rFonts w:ascii="仿宋_GB2312" w:hAnsi="Times New Roman" w:eastAsia="仿宋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1.8 </w:t>
      </w:r>
      <w:r>
        <w:rPr>
          <w:rFonts w:hint="eastAsia" w:ascii="仿宋_GB2312" w:hAnsi="Times New Roman" w:eastAsia="仿宋_GB2312" w:cs="Times New Roman"/>
          <w:b/>
          <w:i w:val="0"/>
          <w:iCs w:val="0"/>
          <w:color w:val="auto"/>
          <w:sz w:val="24"/>
          <w:szCs w:val="24"/>
        </w:rPr>
        <w:t>交割日：</w:t>
      </w:r>
      <w:r>
        <w:rPr>
          <w:rFonts w:hint="eastAsia" w:ascii="楷体_GB2312" w:hAnsi="Times New Roman" w:eastAsia="楷体_GB2312" w:cs="Times New Roman"/>
          <w:i w:val="0"/>
          <w:iCs w:val="0"/>
          <w:color w:val="auto"/>
          <w:sz w:val="24"/>
          <w:szCs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ascii="仿宋_GB2312" w:hAnsi="Times New Roman" w:eastAsia="仿宋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1.9 </w:t>
      </w:r>
      <w:r>
        <w:rPr>
          <w:rFonts w:hint="eastAsia" w:ascii="仿宋_GB2312" w:hAnsi="Times New Roman" w:eastAsia="仿宋_GB2312" w:cs="Times New Roman"/>
          <w:b/>
          <w:i w:val="0"/>
          <w:iCs w:val="0"/>
          <w:color w:val="auto"/>
          <w:sz w:val="24"/>
          <w:szCs w:val="24"/>
        </w:rPr>
        <w:t>过渡期：</w:t>
      </w:r>
      <w:r>
        <w:rPr>
          <w:rFonts w:hint="eastAsia" w:ascii="楷体_GB2312" w:hAnsi="Times New Roman" w:eastAsia="楷体_GB2312" w:cs="Times New Roman"/>
          <w:i w:val="0"/>
          <w:iCs w:val="0"/>
          <w:color w:val="auto"/>
          <w:sz w:val="24"/>
          <w:szCs w:val="24"/>
        </w:rPr>
        <w:t>指自基准日起至交割日止的期间。</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1.10</w:t>
      </w:r>
      <w:r>
        <w:rPr>
          <w:rFonts w:hint="eastAsia" w:ascii="楷体_GB2312" w:hAnsi="Times New Roman" w:eastAsia="楷体_GB2312" w:cs="Times New Roman"/>
          <w:b/>
          <w:i w:val="0"/>
          <w:iCs w:val="0"/>
          <w:color w:val="auto"/>
          <w:sz w:val="24"/>
          <w:szCs w:val="24"/>
        </w:rPr>
        <w:t xml:space="preserve"> 抵债资产：</w:t>
      </w:r>
      <w:r>
        <w:rPr>
          <w:rFonts w:hint="eastAsia" w:ascii="楷体_GB2312" w:hAnsi="Times New Roman" w:eastAsia="楷体_GB2312" w:cs="Times New Roman"/>
          <w:i w:val="0"/>
          <w:iCs w:val="0"/>
          <w:color w:val="auto"/>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pPr>
        <w:snapToGrid w:val="0"/>
        <w:spacing w:line="360" w:lineRule="auto"/>
        <w:ind w:firstLine="470" w:firstLineChars="196"/>
        <w:rPr>
          <w:rFonts w:ascii="楷体_GB2312" w:hAnsi="Times New Roman" w:eastAsia="楷体_GB2312" w:cs="Times New Roman"/>
          <w:i w:val="0"/>
          <w:iCs w:val="0"/>
          <w:color w:val="auto"/>
          <w:sz w:val="24"/>
          <w:szCs w:val="24"/>
          <w:shd w:val="pct10" w:color="auto" w:fill="FFFFFF"/>
        </w:rPr>
      </w:pPr>
      <w:r>
        <w:rPr>
          <w:rFonts w:hint="eastAsia" w:ascii="仿宋_GB2312" w:hAnsi="Times New Roman" w:eastAsia="仿宋_GB2312" w:cs="Times New Roman"/>
          <w:i w:val="0"/>
          <w:iCs w:val="0"/>
          <w:color w:val="auto"/>
          <w:sz w:val="24"/>
          <w:szCs w:val="24"/>
        </w:rPr>
        <w:t xml:space="preserve">1.11 </w:t>
      </w:r>
      <w:r>
        <w:rPr>
          <w:rFonts w:hint="eastAsia" w:ascii="仿宋_GB2312" w:hAnsi="Times New Roman" w:eastAsia="仿宋_GB2312" w:cs="Times New Roman"/>
          <w:b/>
          <w:i w:val="0"/>
          <w:iCs w:val="0"/>
          <w:color w:val="auto"/>
          <w:sz w:val="24"/>
          <w:szCs w:val="24"/>
        </w:rPr>
        <w:t>处置费用：</w:t>
      </w:r>
      <w:r>
        <w:rPr>
          <w:rFonts w:hint="eastAsia" w:ascii="楷体_GB2312" w:hAnsi="Times New Roman" w:eastAsia="楷体_GB2312" w:cs="Times New Roman"/>
          <w:i w:val="0"/>
          <w:iCs w:val="0"/>
          <w:color w:val="auto"/>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1.12 </w:t>
      </w:r>
      <w:r>
        <w:rPr>
          <w:rFonts w:ascii="楷体_GB2312" w:hAnsi="Times New Roman" w:eastAsia="楷体_GB2312" w:cs="Times New Roman"/>
          <w:b/>
          <w:i w:val="0"/>
          <w:iCs w:val="0"/>
          <w:color w:val="auto"/>
          <w:sz w:val="24"/>
          <w:szCs w:val="24"/>
        </w:rPr>
        <w:t>过渡期服务</w:t>
      </w:r>
      <w:r>
        <w:rPr>
          <w:rFonts w:hint="eastAsia" w:ascii="楷体_GB2312" w:hAnsi="Times New Roman" w:eastAsia="楷体_GB2312" w:cs="Times New Roman"/>
          <w:b/>
          <w:i w:val="0"/>
          <w:iCs w:val="0"/>
          <w:color w:val="auto"/>
          <w:sz w:val="24"/>
          <w:szCs w:val="24"/>
        </w:rPr>
        <w:t>报酬：</w:t>
      </w:r>
      <w:r>
        <w:rPr>
          <w:rFonts w:hint="eastAsia" w:ascii="楷体_GB2312" w:hAnsi="Times New Roman" w:eastAsia="楷体_GB2312" w:cs="Times New Roman"/>
          <w:i w:val="0"/>
          <w:iCs w:val="0"/>
          <w:color w:val="auto"/>
          <w:sz w:val="24"/>
          <w:szCs w:val="24"/>
        </w:rPr>
        <w:t>系指甲方根据本协议第8.5款规定收取的对贷款债权提供过渡期服务的报酬。</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1.13</w:t>
      </w:r>
      <w:r>
        <w:rPr>
          <w:rFonts w:hint="eastAsia" w:ascii="楷体_GB2312" w:hAnsi="Times New Roman" w:eastAsia="楷体_GB2312" w:cs="Times New Roman"/>
          <w:b/>
          <w:i w:val="0"/>
          <w:iCs w:val="0"/>
          <w:color w:val="auto"/>
          <w:sz w:val="24"/>
          <w:szCs w:val="24"/>
        </w:rPr>
        <w:t>服务</w:t>
      </w:r>
      <w:r>
        <w:rPr>
          <w:rFonts w:ascii="楷体_GB2312" w:hAnsi="Times New Roman" w:eastAsia="楷体_GB2312" w:cs="Times New Roman"/>
          <w:b/>
          <w:i w:val="0"/>
          <w:iCs w:val="0"/>
          <w:color w:val="auto"/>
          <w:sz w:val="24"/>
          <w:szCs w:val="24"/>
        </w:rPr>
        <w:t>协议</w:t>
      </w:r>
      <w:r>
        <w:rPr>
          <w:rFonts w:hint="eastAsia" w:ascii="楷体_GB2312" w:hAnsi="Times New Roman" w:eastAsia="楷体_GB2312" w:cs="Times New Roman"/>
          <w:i w:val="0"/>
          <w:iCs w:val="0"/>
          <w:color w:val="auto"/>
          <w:sz w:val="24"/>
          <w:szCs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1.14 </w:t>
      </w:r>
      <w:r>
        <w:rPr>
          <w:rFonts w:hint="eastAsia" w:ascii="楷体_GB2312" w:hAnsi="Times New Roman" w:eastAsia="楷体_GB2312" w:cs="Times New Roman"/>
          <w:b/>
          <w:i w:val="0"/>
          <w:iCs w:val="0"/>
          <w:color w:val="auto"/>
          <w:sz w:val="24"/>
          <w:szCs w:val="24"/>
        </w:rPr>
        <w:t>瑕疵</w:t>
      </w:r>
      <w:r>
        <w:rPr>
          <w:rFonts w:hint="eastAsia" w:ascii="楷体_GB2312" w:hAnsi="Times New Roman" w:eastAsia="楷体_GB2312" w:cs="Times New Roman"/>
          <w:i w:val="0"/>
          <w:iCs w:val="0"/>
          <w:color w:val="auto"/>
          <w:sz w:val="24"/>
          <w:szCs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1.15 </w:t>
      </w:r>
      <w:r>
        <w:rPr>
          <w:rFonts w:hint="eastAsia" w:ascii="楷体_GB2312" w:hAnsi="Times New Roman" w:eastAsia="楷体_GB2312" w:cs="Times New Roman"/>
          <w:b/>
          <w:i w:val="0"/>
          <w:iCs w:val="0"/>
          <w:color w:val="auto"/>
          <w:sz w:val="24"/>
          <w:szCs w:val="24"/>
        </w:rPr>
        <w:t>风险</w:t>
      </w:r>
      <w:r>
        <w:rPr>
          <w:rFonts w:hint="eastAsia" w:ascii="楷体_GB2312" w:hAnsi="Times New Roman" w:eastAsia="楷体_GB2312" w:cs="Times New Roman"/>
          <w:i w:val="0"/>
          <w:iCs w:val="0"/>
          <w:color w:val="auto"/>
          <w:sz w:val="24"/>
          <w:szCs w:val="24"/>
        </w:rPr>
        <w:t>：指乙方受让贷款债权后，由于各种主观、客观原因，导致预期利益不能实现的可能性。</w:t>
      </w:r>
    </w:p>
    <w:p>
      <w:pPr>
        <w:snapToGrid w:val="0"/>
        <w:spacing w:line="360" w:lineRule="auto"/>
        <w:ind w:firstLine="472" w:firstLineChars="196"/>
        <w:rPr>
          <w:rFonts w:ascii="仿宋_GB2312" w:hAnsi="Times New Roman" w:eastAsia="仿宋_GB2312" w:cs="Times New Roman"/>
          <w:b/>
          <w:i w:val="0"/>
          <w:iCs w:val="0"/>
          <w:color w:val="auto"/>
          <w:sz w:val="24"/>
          <w:szCs w:val="24"/>
        </w:rPr>
      </w:pPr>
    </w:p>
    <w:p>
      <w:pPr>
        <w:snapToGrid w:val="0"/>
        <w:spacing w:line="360" w:lineRule="auto"/>
        <w:ind w:firstLine="482" w:firstLineChars="200"/>
        <w:rPr>
          <w:rFonts w:ascii="黑体" w:hAnsi="Times New Roman" w:eastAsia="黑体" w:cs="Times New Roman"/>
          <w:b/>
          <w:bCs/>
          <w:i w:val="0"/>
          <w:iCs w:val="0"/>
          <w:color w:val="auto"/>
          <w:sz w:val="24"/>
          <w:szCs w:val="24"/>
        </w:rPr>
      </w:pPr>
      <w:r>
        <w:rPr>
          <w:rFonts w:hint="eastAsia" w:ascii="黑体" w:hAnsi="Times New Roman" w:eastAsia="黑体" w:cs="Times New Roman"/>
          <w:b/>
          <w:i w:val="0"/>
          <w:iCs w:val="0"/>
          <w:color w:val="auto"/>
          <w:sz w:val="24"/>
          <w:szCs w:val="24"/>
        </w:rPr>
        <w:t>第二条  瑕疵和</w:t>
      </w:r>
      <w:r>
        <w:rPr>
          <w:rFonts w:hint="eastAsia" w:ascii="黑体" w:hAnsi="Times New Roman" w:eastAsia="黑体" w:cs="Times New Roman"/>
          <w:b/>
          <w:bCs/>
          <w:i w:val="0"/>
          <w:iCs w:val="0"/>
          <w:color w:val="auto"/>
          <w:sz w:val="24"/>
          <w:szCs w:val="24"/>
        </w:rPr>
        <w:t>风险揭示</w:t>
      </w:r>
    </w:p>
    <w:p>
      <w:pPr>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bCs/>
          <w:i w:val="0"/>
          <w:iCs w:val="0"/>
          <w:color w:val="auto"/>
          <w:sz w:val="24"/>
          <w:szCs w:val="24"/>
        </w:rPr>
        <w:t>2</w:t>
      </w:r>
      <w:r>
        <w:rPr>
          <w:rFonts w:hint="eastAsia" w:ascii="黑体" w:hAnsi="Times New Roman" w:eastAsia="黑体" w:cs="Times New Roman"/>
          <w:i w:val="0"/>
          <w:iCs w:val="0"/>
          <w:color w:val="auto"/>
          <w:sz w:val="24"/>
          <w:szCs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让贷款债权的预期利益可能无法实现。该等瑕疵或风险包括但不限于下列一项或多项：</w:t>
      </w:r>
    </w:p>
    <w:p>
      <w:pPr>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2.1.1贷款债权系不良资产，存在着部分或全部不能回收的风险特性以及清收的困难性；</w:t>
      </w:r>
    </w:p>
    <w:p>
      <w:pPr>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2.1.3 贷款债权项下借款人、担保人或其他责任主体可能存在破产、被吊销、被撤销、注销、解散、关闭、歇业、停业、下落不明以及其他主体存续性瑕疵的情形；</w:t>
      </w:r>
    </w:p>
    <w:p>
      <w:pPr>
        <w:snapToGrid w:val="0"/>
        <w:spacing w:line="360" w:lineRule="auto"/>
        <w:ind w:right="-86" w:rightChars="-41"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2.1.4 贷款债权可能已超过诉讼或执行时效、法定或约定时效或丧失其他相关的期间利益或因其他原因已部分或全部丧失；</w:t>
      </w:r>
    </w:p>
    <w:p>
      <w:pPr>
        <w:snapToGrid w:val="0"/>
        <w:spacing w:line="360" w:lineRule="auto"/>
        <w:ind w:right="-86" w:rightChars="-41"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2.1.5 贷款债权项下担保权利可能未生效、无效、消灭或已过保证期间、诉讼或执行时效等情形；</w:t>
      </w:r>
    </w:p>
    <w:p>
      <w:pPr>
        <w:snapToGrid w:val="0"/>
        <w:spacing w:line="360" w:lineRule="auto"/>
        <w:ind w:right="-86" w:rightChars="-41"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2.1.6 贷款债权证明文件可能存在缺失（不限于原件）、内容冲突等相关情形；</w:t>
      </w:r>
    </w:p>
    <w:p>
      <w:pPr>
        <w:snapToGrid w:val="0"/>
        <w:spacing w:line="360" w:lineRule="auto"/>
        <w:ind w:right="-86" w:rightChars="-41"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2.1.7 担保物、抵债资产（协议抵债且未办理过户）可能发生灭失、毁损或可能存在欠缴税费、不能办理权属变更手续、不能实际占有或其他减损担保物、抵债资产价值的相关情形；</w:t>
      </w:r>
    </w:p>
    <w:p>
      <w:pPr>
        <w:snapToGrid w:val="0"/>
        <w:spacing w:line="360" w:lineRule="auto"/>
        <w:ind w:right="-86" w:rightChars="-41"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2.1.8涉诉贷款债权可能存在全部或部分败诉、不能变更诉讼（含执行）主体、相关诉讼、执行费用未付等情形，涉诉贷款债权可能在交割前已诉讼终结、执行终结或破产终结。</w:t>
      </w:r>
    </w:p>
    <w:p>
      <w:pPr>
        <w:tabs>
          <w:tab w:val="left" w:pos="992"/>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2.1.9 贷款债权事实上可能已经全部或部分灭失。</w:t>
      </w:r>
    </w:p>
    <w:p>
      <w:pPr>
        <w:tabs>
          <w:tab w:val="left" w:pos="992"/>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2.1.10乙方受让贷款债权后，对该贷款债权在交割日后的利息或罚息请求权，受让方可能无法继续享有。</w:t>
      </w:r>
    </w:p>
    <w:p>
      <w:pPr>
        <w:snapToGrid w:val="0"/>
        <w:spacing w:line="360" w:lineRule="auto"/>
        <w:ind w:firstLine="470" w:firstLineChars="196"/>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2.1.11乙方受让贷款债权后，可能无法享有甲方所享有的国家法律政策规定的各项优惠条件和特殊保护，包括但不限于税收和诉讼方面的优惠和特殊保护。</w:t>
      </w:r>
    </w:p>
    <w:p>
      <w:pPr>
        <w:spacing w:line="360" w:lineRule="auto"/>
        <w:ind w:firstLine="480" w:firstLineChars="200"/>
        <w:rPr>
          <w:rFonts w:hint="eastAsia"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2.1.12 尽管甲方已对拟转让债权瑕疵作出上述披露，但该债权仍然存在包括但不限于如下瑕疵，乙方受让贷款债权前，已充分了解甲方告知的下列事实：</w:t>
      </w:r>
    </w:p>
    <w:p>
      <w:pPr>
        <w:spacing w:line="360" w:lineRule="auto"/>
        <w:ind w:firstLine="480" w:firstLineChars="200"/>
        <w:rPr>
          <w:rFonts w:hint="eastAsia" w:ascii="黑体" w:hAnsi="Times New Roman" w:eastAsia="黑体" w:cs="Times New Roman"/>
          <w:i w:val="0"/>
          <w:iCs w:val="0"/>
          <w:color w:val="auto"/>
          <w:sz w:val="24"/>
          <w:szCs w:val="24"/>
          <w:highlight w:val="none"/>
          <w:lang w:val="en-US" w:eastAsia="zh-CN"/>
        </w:rPr>
      </w:pPr>
      <w:r>
        <w:rPr>
          <w:rFonts w:hint="eastAsia" w:ascii="黑体" w:hAnsi="Times New Roman" w:eastAsia="黑体" w:cs="Times New Roman"/>
          <w:i w:val="0"/>
          <w:iCs w:val="0"/>
          <w:color w:val="auto"/>
          <w:sz w:val="24"/>
          <w:szCs w:val="24"/>
          <w:highlight w:val="none"/>
          <w:lang w:val="en-US" w:eastAsia="zh-CN"/>
        </w:rPr>
        <w:t>（1）山东省富泰新型建材有限公司债权中抵押的机器设备可能存在毁损、灭失情形；抵押机器设备存在在先抵押权人；</w:t>
      </w:r>
    </w:p>
    <w:p>
      <w:pPr>
        <w:spacing w:line="360" w:lineRule="auto"/>
        <w:ind w:firstLine="480" w:firstLineChars="200"/>
        <w:rPr>
          <w:rFonts w:hint="eastAsia" w:ascii="黑体" w:hAnsi="Times New Roman" w:eastAsia="黑体" w:cs="Times New Roman"/>
          <w:i w:val="0"/>
          <w:iCs w:val="0"/>
          <w:color w:val="auto"/>
          <w:sz w:val="24"/>
          <w:szCs w:val="24"/>
          <w:highlight w:val="none"/>
        </w:rPr>
      </w:pPr>
      <w:r>
        <w:rPr>
          <w:rFonts w:hint="eastAsia" w:ascii="黑体" w:hAnsi="Times New Roman" w:eastAsia="黑体" w:cs="Times New Roman"/>
          <w:i w:val="0"/>
          <w:iCs w:val="0"/>
          <w:color w:val="auto"/>
          <w:sz w:val="24"/>
          <w:szCs w:val="24"/>
          <w:highlight w:val="none"/>
          <w:lang w:val="en-US" w:eastAsia="zh-CN"/>
        </w:rPr>
        <w:t>（2）山东省富泰新型建材有限公司债权中抵押的房地产，法院判决的最高抵押优先权数额与抵押合同数额一致，但与他项权证登记数额不一致。</w:t>
      </w:r>
    </w:p>
    <w:p>
      <w:pPr>
        <w:snapToGrid w:val="0"/>
        <w:spacing w:line="360" w:lineRule="auto"/>
        <w:ind w:firstLine="470" w:firstLineChars="196"/>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甲方对上述瑕疵或风险不发表任何判断性结论，由乙方自行作出判断，甲方不承担任何责任。</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乙方进一步确认，其已充分了解并认识上述瑕疵或风险，并经独立慎重判断后作出签署本协议的决定，同意按照现状受让贷款债权，乙方承诺不因上述瑕疵或风险而要求甲方及甲方前手权利人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及甲方前手权利人追偿。</w:t>
      </w:r>
    </w:p>
    <w:p>
      <w:pPr>
        <w:spacing w:line="360" w:lineRule="auto"/>
        <w:ind w:firstLine="482" w:firstLineChars="200"/>
        <w:rPr>
          <w:rFonts w:ascii="仿宋_GB2312" w:hAnsi="Times New Roman" w:eastAsia="仿宋_GB2312" w:cs="Times New Roman"/>
          <w:b/>
          <w:i w:val="0"/>
          <w:iCs w:val="0"/>
          <w:color w:val="auto"/>
          <w:sz w:val="24"/>
          <w:szCs w:val="24"/>
        </w:rPr>
      </w:pPr>
    </w:p>
    <w:p>
      <w:pPr>
        <w:spacing w:line="360" w:lineRule="auto"/>
        <w:ind w:firstLine="482" w:firstLineChars="200"/>
        <w:rPr>
          <w:rFonts w:ascii="仿宋_GB2312" w:hAnsi="Times New Roman" w:eastAsia="仿宋_GB2312" w:cs="Times New Roman"/>
          <w:i w:val="0"/>
          <w:iCs w:val="0"/>
          <w:color w:val="auto"/>
          <w:sz w:val="24"/>
          <w:szCs w:val="24"/>
        </w:rPr>
      </w:pPr>
      <w:r>
        <w:rPr>
          <w:rFonts w:hint="eastAsia" w:ascii="仿宋_GB2312" w:hAnsi="Times New Roman" w:eastAsia="仿宋_GB2312" w:cs="Times New Roman"/>
          <w:b/>
          <w:i w:val="0"/>
          <w:iCs w:val="0"/>
          <w:color w:val="auto"/>
          <w:sz w:val="24"/>
          <w:szCs w:val="24"/>
        </w:rPr>
        <w:t>第三条  贷款债权金额</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3.1  截至基准日，贷款债权账面本金余额为人民币</w:t>
      </w:r>
      <w:r>
        <w:rPr>
          <w:rFonts w:hint="eastAsia" w:ascii="楷体_GB2312" w:eastAsia="楷体_GB2312"/>
          <w:sz w:val="24"/>
          <w:lang w:val="en-US" w:eastAsia="zh-CN"/>
        </w:rPr>
        <w:t>伍仟壹佰贰拾捌万贰仟柒佰叁拾叁元肆角捌分</w:t>
      </w:r>
      <w:r>
        <w:rPr>
          <w:rFonts w:hint="eastAsia" w:ascii="楷体_GB2312" w:eastAsia="楷体_GB2312"/>
          <w:sz w:val="24"/>
        </w:rPr>
        <w:t>（小写：51,282,733.48元），利息为人民币</w:t>
      </w:r>
      <w:r>
        <w:rPr>
          <w:rFonts w:hint="eastAsia" w:ascii="楷体_GB2312" w:eastAsia="楷体_GB2312"/>
          <w:sz w:val="24"/>
          <w:lang w:val="en-US" w:eastAsia="zh-CN"/>
        </w:rPr>
        <w:t>壹仟柒佰玖拾万柒仟捌佰伍拾伍元贰角贰分</w:t>
      </w:r>
      <w:r>
        <w:rPr>
          <w:rFonts w:hint="eastAsia" w:ascii="楷体_GB2312" w:eastAsia="楷体_GB2312"/>
          <w:sz w:val="24"/>
        </w:rPr>
        <w:t>（小写：17,907,855.22元）</w:t>
      </w:r>
      <w:r>
        <w:rPr>
          <w:rFonts w:hint="eastAsia" w:ascii="楷体_GB2312" w:eastAsia="楷体_GB2312"/>
          <w:sz w:val="24"/>
          <w:lang w:eastAsia="zh-CN"/>
        </w:rPr>
        <w:t>，</w:t>
      </w:r>
      <w:r>
        <w:rPr>
          <w:rFonts w:hint="eastAsia" w:ascii="楷体_GB2312" w:eastAsia="楷体_GB2312"/>
          <w:sz w:val="24"/>
          <w:lang w:val="en-US" w:eastAsia="zh-CN"/>
        </w:rPr>
        <w:t>其他费用为人民币肆拾叁万叁仟柒佰叁拾柒元整（小写：433,737.00元）</w:t>
      </w:r>
      <w:r>
        <w:rPr>
          <w:rFonts w:hint="eastAsia" w:ascii="楷体_GB2312" w:eastAsia="楷体_GB2312"/>
        </w:rPr>
        <w:t>，</w:t>
      </w:r>
      <w:r>
        <w:rPr>
          <w:rFonts w:hint="eastAsia" w:ascii="楷体_GB2312" w:eastAsia="楷体_GB2312"/>
          <w:sz w:val="24"/>
        </w:rPr>
        <w:t>合计为</w:t>
      </w:r>
      <w:r>
        <w:rPr>
          <w:rFonts w:hint="eastAsia" w:ascii="楷体" w:hAnsi="楷体" w:eastAsia="楷体"/>
          <w:sz w:val="24"/>
          <w:highlight w:val="none"/>
        </w:rPr>
        <w:t>人民币</w:t>
      </w:r>
      <w:r>
        <w:rPr>
          <w:rFonts w:hint="eastAsia" w:ascii="楷体" w:hAnsi="楷体" w:eastAsia="楷体"/>
          <w:sz w:val="24"/>
          <w:lang w:val="en-US" w:eastAsia="zh-CN"/>
        </w:rPr>
        <w:t>陆仟玖佰陆拾贰万肆仟叁佰贰拾伍元柒角</w:t>
      </w:r>
      <w:r>
        <w:rPr>
          <w:rFonts w:hint="eastAsia" w:ascii="楷体" w:hAnsi="楷体" w:eastAsia="楷体"/>
          <w:sz w:val="24"/>
        </w:rPr>
        <w:t>（小写：69,624,325.70元）</w:t>
      </w:r>
      <w:r>
        <w:rPr>
          <w:rFonts w:hint="eastAsia" w:ascii="楷体_GB2312" w:eastAsia="楷体_GB2312"/>
          <w:sz w:val="24"/>
        </w:rPr>
        <w:t>。贷款债权的具体情况详见本协议附件一（贷款债权明细表）。</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eastAsia="楷体_GB2312"/>
          <w:sz w:val="24"/>
        </w:rPr>
        <w:t>3.2 过渡期内与主债权相关的利息及基准日之后的利息，在相关司法政策允许的前提下，在交割日一并转移给乙方。</w:t>
      </w:r>
    </w:p>
    <w:p>
      <w:pPr>
        <w:tabs>
          <w:tab w:val="left" w:pos="1260"/>
        </w:tabs>
        <w:snapToGrid w:val="0"/>
        <w:spacing w:line="360" w:lineRule="auto"/>
        <w:ind w:right="-87" w:firstLine="480" w:firstLineChars="200"/>
        <w:rPr>
          <w:rFonts w:ascii="仿宋_GB2312" w:hAnsi="Times New Roman" w:eastAsia="仿宋_GB2312" w:cs="Times New Roman"/>
          <w:i w:val="0"/>
          <w:iCs w:val="0"/>
          <w:color w:val="auto"/>
          <w:sz w:val="24"/>
          <w:szCs w:val="24"/>
        </w:rPr>
      </w:pPr>
      <w:bookmarkStart w:id="0" w:name="_Ref118447365"/>
    </w:p>
    <w:p>
      <w:pPr>
        <w:tabs>
          <w:tab w:val="left" w:pos="1260"/>
        </w:tabs>
        <w:snapToGrid w:val="0"/>
        <w:spacing w:line="360" w:lineRule="auto"/>
        <w:ind w:right="-87" w:firstLine="482" w:firstLineChars="200"/>
        <w:rPr>
          <w:rFonts w:ascii="仿宋_GB2312" w:hAnsi="Times New Roman" w:eastAsia="仿宋_GB2312" w:cs="Times New Roman"/>
          <w:b/>
          <w:bCs/>
          <w:i w:val="0"/>
          <w:iCs w:val="0"/>
          <w:color w:val="auto"/>
          <w:sz w:val="24"/>
          <w:szCs w:val="24"/>
        </w:rPr>
      </w:pPr>
      <w:r>
        <w:rPr>
          <w:rFonts w:hint="eastAsia" w:ascii="仿宋_GB2312" w:hAnsi="Times New Roman" w:eastAsia="仿宋_GB2312" w:cs="Times New Roman"/>
          <w:b/>
          <w:bCs/>
          <w:i w:val="0"/>
          <w:iCs w:val="0"/>
          <w:color w:val="auto"/>
          <w:sz w:val="24"/>
          <w:szCs w:val="24"/>
        </w:rPr>
        <w:t>第四条  贷款债权转让</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甲方同意按照本协议约定的条件，向乙方转让贷款债权；乙方同意按照本协议约定的条件，受让贷款债权。在遵守本协议条款和交割条件的前提下，交割后，甲方将自基准日（不含该日）起的权利、权益和利益均转让给乙方。</w:t>
      </w:r>
    </w:p>
    <w:p>
      <w:pPr>
        <w:tabs>
          <w:tab w:val="left" w:pos="1260"/>
        </w:tabs>
        <w:snapToGrid w:val="0"/>
        <w:spacing w:line="360" w:lineRule="auto"/>
        <w:ind w:right="-87" w:firstLine="480" w:firstLineChars="200"/>
        <w:rPr>
          <w:rFonts w:ascii="仿宋_GB2312" w:hAnsi="Times New Roman" w:eastAsia="仿宋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 </w:t>
      </w:r>
    </w:p>
    <w:p>
      <w:pPr>
        <w:tabs>
          <w:tab w:val="left" w:pos="1260"/>
        </w:tabs>
        <w:snapToGrid w:val="0"/>
        <w:spacing w:line="360" w:lineRule="auto"/>
        <w:ind w:right="-87" w:firstLine="482" w:firstLineChars="200"/>
        <w:rPr>
          <w:rFonts w:ascii="黑体" w:hAnsi="Times New Roman" w:eastAsia="黑体" w:cs="Times New Roman"/>
          <w:i w:val="0"/>
          <w:iCs w:val="0"/>
          <w:color w:val="auto"/>
          <w:sz w:val="24"/>
          <w:szCs w:val="24"/>
        </w:rPr>
      </w:pPr>
      <w:r>
        <w:rPr>
          <w:rFonts w:hint="eastAsia" w:ascii="黑体" w:hAnsi="Times New Roman" w:eastAsia="黑体" w:cs="Times New Roman"/>
          <w:b/>
          <w:i w:val="0"/>
          <w:iCs w:val="0"/>
          <w:color w:val="auto"/>
          <w:sz w:val="24"/>
          <w:szCs w:val="24"/>
        </w:rPr>
        <w:t>第五条  风险转移</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交割后，乙方应独立承担该等贷款债权于基准日后发生的或可能发生的任何已知或未知的损失、损害、风险或责任。乙方对此予以认可，乙方承诺对于本协议2.1款的瑕疵或风险，不因任何原因向甲方及甲方前手权利人主张赔偿、回购或要求甲方及甲方前手权利人承担任何责任。</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第六条  转让价款、相关费用及支付方式</w:t>
      </w:r>
      <w:bookmarkEnd w:id="0"/>
      <w:bookmarkStart w:id="1" w:name="_Ref120340560"/>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6.1 转让价款</w:t>
      </w:r>
    </w:p>
    <w:p>
      <w:pPr>
        <w:tabs>
          <w:tab w:val="left" w:pos="1260"/>
        </w:tabs>
        <w:snapToGrid w:val="0"/>
        <w:spacing w:line="360" w:lineRule="auto"/>
        <w:ind w:right="-87" w:firstLine="480" w:firstLineChars="200"/>
        <w:rPr>
          <w:rFonts w:hint="eastAsia"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乙方确认，其因受让贷款债权而需按照本条约定向甲方支付的转让价款为人民币</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元（小写：</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乙方确认，其受让本协议项下贷款债权的转让价款以《拍卖成交确认书》（附件八）载明的拍卖成交的成交价款为准，计人民币</w:t>
      </w:r>
      <w:r>
        <w:rPr>
          <w:rFonts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元。</w:t>
      </w:r>
    </w:p>
    <w:bookmarkEnd w:id="1"/>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6.2 履约保证金</w:t>
      </w:r>
    </w:p>
    <w:p>
      <w:pPr>
        <w:spacing w:line="360" w:lineRule="auto"/>
        <w:ind w:firstLine="480" w:firstLineChars="200"/>
        <w:rPr>
          <w:rFonts w:hint="eastAsia"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为参与本次拍卖活动，乙方已向拍卖机构支付了竞拍（买）保证金人民币</w:t>
      </w:r>
      <w:r>
        <w:rPr>
          <w:rFonts w:hint="eastAsia" w:ascii="楷体_GB2312" w:eastAsia="楷体_GB2312" w:cs="Times New Roman"/>
          <w:i w:val="0"/>
          <w:iCs w:val="0"/>
          <w:color w:val="auto"/>
          <w:sz w:val="24"/>
          <w:szCs w:val="24"/>
          <w:lang w:val="en-US" w:eastAsia="zh-CN"/>
        </w:rPr>
        <w:t>贰</w:t>
      </w:r>
      <w:r>
        <w:rPr>
          <w:rFonts w:hint="eastAsia" w:ascii="楷体_GB2312" w:hAnsi="Times New Roman" w:eastAsia="楷体_GB2312" w:cs="Times New Roman"/>
          <w:i w:val="0"/>
          <w:iCs w:val="0"/>
          <w:color w:val="auto"/>
          <w:sz w:val="24"/>
          <w:szCs w:val="24"/>
          <w:lang w:val="en-US" w:eastAsia="zh-CN"/>
        </w:rPr>
        <w:t>佰万</w:t>
      </w:r>
      <w:r>
        <w:rPr>
          <w:rFonts w:hint="eastAsia" w:ascii="楷体_GB2312" w:hAnsi="Times New Roman" w:eastAsia="楷体_GB2312" w:cs="Times New Roman"/>
          <w:i w:val="0"/>
          <w:iCs w:val="0"/>
          <w:color w:val="auto"/>
          <w:sz w:val="24"/>
          <w:szCs w:val="24"/>
        </w:rPr>
        <w:t>元</w:t>
      </w:r>
      <w:r>
        <w:rPr>
          <w:rFonts w:hint="eastAsia" w:ascii="楷体_GB2312" w:hAnsi="Times New Roman" w:eastAsia="楷体_GB2312" w:cs="Times New Roman"/>
          <w:i w:val="0"/>
          <w:iCs w:val="0"/>
          <w:color w:val="auto"/>
          <w:sz w:val="24"/>
          <w:szCs w:val="24"/>
          <w:lang w:val="en-US" w:eastAsia="zh-CN"/>
        </w:rPr>
        <w:t>整</w:t>
      </w:r>
      <w:r>
        <w:rPr>
          <w:rFonts w:hint="eastAsia" w:ascii="楷体_GB2312" w:hAnsi="Times New Roman" w:eastAsia="楷体_GB2312" w:cs="Times New Roman"/>
          <w:i w:val="0"/>
          <w:iCs w:val="0"/>
          <w:color w:val="auto"/>
          <w:sz w:val="24"/>
          <w:szCs w:val="24"/>
        </w:rPr>
        <w:t>（小写：</w:t>
      </w:r>
      <w:r>
        <w:rPr>
          <w:rFonts w:hint="eastAsia" w:ascii="楷体_GB2312" w:eastAsia="楷体_GB2312" w:cs="Times New Roman"/>
          <w:i w:val="0"/>
          <w:iCs w:val="0"/>
          <w:color w:val="auto"/>
          <w:sz w:val="24"/>
          <w:szCs w:val="24"/>
          <w:lang w:val="en-US" w:eastAsia="zh-CN"/>
        </w:rPr>
        <w:t>2</w:t>
      </w:r>
      <w:r>
        <w:rPr>
          <w:rFonts w:hint="eastAsia" w:ascii="楷体_GB2312" w:hAnsi="Times New Roman" w:eastAsia="楷体_GB2312" w:cs="Times New Roman"/>
          <w:i w:val="0"/>
          <w:iCs w:val="0"/>
          <w:color w:val="auto"/>
          <w:sz w:val="24"/>
          <w:szCs w:val="24"/>
          <w:lang w:val="en-US" w:eastAsia="zh-CN"/>
        </w:rPr>
        <w:t>,000,000.00</w:t>
      </w:r>
      <w:r>
        <w:rPr>
          <w:rFonts w:hint="eastAsia" w:ascii="楷体_GB2312" w:hAnsi="Times New Roman" w:eastAsia="楷体_GB2312" w:cs="Times New Roman"/>
          <w:i w:val="0"/>
          <w:iCs w:val="0"/>
          <w:color w:val="auto"/>
          <w:sz w:val="24"/>
          <w:szCs w:val="24"/>
        </w:rPr>
        <w:t>），该竞拍（买）保证金在《拍卖成交确认书》签署之后自动转为乙方与甲方签署本协议的缔约定金（不计利息），在本协议签署后自动转为确保乙方履行本协议项下义务的履约保证金。</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6.2.2 乙方支付的履约保证金可相应充抵乙方应向甲方支付的最后一期转让价款。</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6.3 转让价款及其他款项的支付</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6.3.1</w:t>
      </w:r>
      <w:r>
        <w:rPr>
          <w:rFonts w:hint="eastAsia" w:ascii="楷体_GB2312" w:hAnsi="Times New Roman" w:eastAsia="楷体_GB2312" w:cs="Times New Roman"/>
          <w:i w:val="0"/>
          <w:iCs w:val="0"/>
          <w:color w:val="auto"/>
          <w:sz w:val="24"/>
          <w:szCs w:val="24"/>
        </w:rPr>
        <w:t xml:space="preserve"> 乙方确认乙方将按照《拍卖成交确认书》确定的时间直接向甲方一次性支付第6.1款约定的转让价款，即乙方应在  年  月  日前向甲方支付全部转让价款。</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6.3.2</w:t>
      </w:r>
      <w:r>
        <w:rPr>
          <w:rFonts w:hint="eastAsia" w:ascii="楷体_GB2312" w:hAnsi="Times New Roman" w:eastAsia="楷体_GB2312" w:cs="Times New Roman"/>
          <w:i w:val="0"/>
          <w:iCs w:val="0"/>
          <w:color w:val="auto"/>
          <w:sz w:val="24"/>
          <w:szCs w:val="24"/>
        </w:rPr>
        <w:t xml:space="preserve"> 过渡期服务报酬的支付</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乙方应于交割前向甲方支付按照第八条约定的过渡期服务报酬。</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6.4 付款账号</w:t>
      </w:r>
    </w:p>
    <w:p>
      <w:pPr>
        <w:tabs>
          <w:tab w:val="left" w:pos="1260"/>
        </w:tabs>
        <w:snapToGrid w:val="0"/>
        <w:spacing w:line="360" w:lineRule="auto"/>
        <w:ind w:right="-87" w:firstLine="480" w:firstLineChars="200"/>
        <w:rPr>
          <w:rFonts w:hint="eastAsia" w:ascii="楷体" w:hAnsi="楷体" w:eastAsia="楷体"/>
          <w:sz w:val="24"/>
        </w:rPr>
      </w:pPr>
      <w:r>
        <w:rPr>
          <w:rFonts w:hint="eastAsia" w:ascii="楷体_GB2312" w:hAnsi="Times New Roman" w:eastAsia="楷体_GB2312" w:cs="Times New Roman"/>
          <w:i w:val="0"/>
          <w:iCs w:val="0"/>
          <w:color w:val="auto"/>
          <w:sz w:val="24"/>
          <w:szCs w:val="24"/>
          <w:highlight w:val="none"/>
        </w:rPr>
        <w:t>乙方在</w:t>
      </w:r>
      <w:r>
        <w:rPr>
          <w:rFonts w:ascii="楷体_GB2312" w:hAnsi="Times New Roman" w:eastAsia="楷体_GB2312" w:cs="Times New Roman"/>
          <w:i w:val="0"/>
          <w:iCs w:val="0"/>
          <w:color w:val="auto"/>
          <w:sz w:val="24"/>
          <w:szCs w:val="24"/>
          <w:highlight w:val="none"/>
        </w:rPr>
        <w:t>本协议项下</w:t>
      </w:r>
      <w:r>
        <w:rPr>
          <w:rFonts w:hint="eastAsia" w:ascii="楷体_GB2312" w:hAnsi="Times New Roman" w:eastAsia="楷体_GB2312" w:cs="Times New Roman"/>
          <w:i w:val="0"/>
          <w:iCs w:val="0"/>
          <w:color w:val="auto"/>
          <w:sz w:val="24"/>
          <w:szCs w:val="24"/>
          <w:highlight w:val="none"/>
        </w:rPr>
        <w:t>应支付的</w:t>
      </w:r>
      <w:r>
        <w:rPr>
          <w:rFonts w:ascii="楷体_GB2312" w:hAnsi="Times New Roman" w:eastAsia="楷体_GB2312" w:cs="Times New Roman"/>
          <w:i w:val="0"/>
          <w:iCs w:val="0"/>
          <w:color w:val="auto"/>
          <w:sz w:val="24"/>
          <w:szCs w:val="24"/>
          <w:highlight w:val="none"/>
        </w:rPr>
        <w:t>全部款项</w:t>
      </w:r>
      <w:r>
        <w:rPr>
          <w:rFonts w:hint="eastAsia" w:ascii="楷体_GB2312" w:hAnsi="Times New Roman" w:eastAsia="楷体_GB2312" w:cs="Times New Roman"/>
          <w:i w:val="0"/>
          <w:iCs w:val="0"/>
          <w:color w:val="auto"/>
          <w:sz w:val="24"/>
          <w:szCs w:val="24"/>
          <w:highlight w:val="none"/>
        </w:rPr>
        <w:t>以</w:t>
      </w:r>
      <w:r>
        <w:rPr>
          <w:rFonts w:ascii="楷体_GB2312" w:hAnsi="Times New Roman" w:eastAsia="楷体_GB2312" w:cs="Times New Roman"/>
          <w:i w:val="0"/>
          <w:iCs w:val="0"/>
          <w:color w:val="auto"/>
          <w:sz w:val="24"/>
          <w:szCs w:val="24"/>
          <w:highlight w:val="none"/>
        </w:rPr>
        <w:t>电汇</w:t>
      </w:r>
      <w:r>
        <w:rPr>
          <w:rFonts w:hint="eastAsia" w:ascii="楷体_GB2312" w:hAnsi="Times New Roman" w:eastAsia="楷体_GB2312" w:cs="Times New Roman"/>
          <w:i w:val="0"/>
          <w:iCs w:val="0"/>
          <w:color w:val="auto"/>
          <w:sz w:val="24"/>
          <w:szCs w:val="24"/>
          <w:highlight w:val="none"/>
        </w:rPr>
        <w:t>立即可用资金形式划付</w:t>
      </w:r>
      <w:r>
        <w:rPr>
          <w:rFonts w:ascii="楷体_GB2312" w:hAnsi="Times New Roman" w:eastAsia="楷体_GB2312" w:cs="Times New Roman"/>
          <w:i w:val="0"/>
          <w:iCs w:val="0"/>
          <w:color w:val="auto"/>
          <w:sz w:val="24"/>
          <w:szCs w:val="24"/>
          <w:highlight w:val="none"/>
        </w:rPr>
        <w:t>至</w:t>
      </w:r>
      <w:r>
        <w:rPr>
          <w:rFonts w:hint="eastAsia" w:ascii="楷体_GB2312" w:eastAsia="楷体_GB2312" w:cs="Times New Roman"/>
          <w:i w:val="0"/>
          <w:iCs w:val="0"/>
          <w:color w:val="auto"/>
          <w:sz w:val="24"/>
          <w:szCs w:val="24"/>
          <w:highlight w:val="none"/>
          <w:lang w:val="en-US" w:eastAsia="zh-CN"/>
        </w:rPr>
        <w:t>拍卖方</w:t>
      </w:r>
      <w:r>
        <w:rPr>
          <w:rFonts w:ascii="楷体_GB2312" w:hAnsi="Times New Roman" w:eastAsia="楷体_GB2312" w:cs="Times New Roman"/>
          <w:i w:val="0"/>
          <w:iCs w:val="0"/>
          <w:color w:val="auto"/>
          <w:sz w:val="24"/>
          <w:szCs w:val="24"/>
          <w:highlight w:val="none"/>
        </w:rPr>
        <w:t>指定</w:t>
      </w:r>
      <w:r>
        <w:rPr>
          <w:rFonts w:hint="eastAsia" w:ascii="楷体_GB2312" w:hAnsi="Times New Roman" w:eastAsia="楷体_GB2312" w:cs="Times New Roman"/>
          <w:i w:val="0"/>
          <w:iCs w:val="0"/>
          <w:color w:val="auto"/>
          <w:sz w:val="24"/>
          <w:szCs w:val="24"/>
          <w:highlight w:val="none"/>
        </w:rPr>
        <w:t>的</w:t>
      </w:r>
      <w:r>
        <w:rPr>
          <w:rFonts w:ascii="楷体_GB2312" w:hAnsi="Times New Roman" w:eastAsia="楷体_GB2312" w:cs="Times New Roman"/>
          <w:i w:val="0"/>
          <w:iCs w:val="0"/>
          <w:color w:val="auto"/>
          <w:sz w:val="24"/>
          <w:szCs w:val="24"/>
          <w:highlight w:val="none"/>
        </w:rPr>
        <w:t>下列账户</w:t>
      </w:r>
      <w:r>
        <w:rPr>
          <w:rFonts w:hint="eastAsia" w:ascii="楷体_GB2312" w:eastAsia="楷体_GB2312" w:cs="Times New Roman"/>
          <w:i w:val="0"/>
          <w:iCs w:val="0"/>
          <w:color w:val="auto"/>
          <w:sz w:val="24"/>
          <w:szCs w:val="24"/>
          <w:highlight w:val="none"/>
          <w:lang w:val="en-US" w:eastAsia="zh-CN"/>
        </w:rPr>
        <w:t>再由拍卖方汇至甲方账户：</w:t>
      </w:r>
    </w:p>
    <w:p>
      <w:pPr>
        <w:spacing w:line="360" w:lineRule="auto"/>
        <w:ind w:firstLine="480" w:firstLineChars="200"/>
        <w:rPr>
          <w:rFonts w:ascii="楷体" w:hAnsi="楷体" w:eastAsia="楷体"/>
          <w:sz w:val="24"/>
        </w:rPr>
      </w:pPr>
      <w:r>
        <w:rPr>
          <w:rFonts w:hint="eastAsia" w:ascii="楷体" w:hAnsi="楷体" w:eastAsia="楷体"/>
          <w:sz w:val="24"/>
        </w:rPr>
        <w:t>户</w:t>
      </w:r>
      <w:r>
        <w:rPr>
          <w:rFonts w:ascii="楷体" w:hAnsi="楷体" w:eastAsia="楷体"/>
          <w:sz w:val="24"/>
        </w:rPr>
        <w:t xml:space="preserve">    </w:t>
      </w:r>
      <w:r>
        <w:rPr>
          <w:rFonts w:hint="eastAsia" w:ascii="楷体" w:hAnsi="楷体" w:eastAsia="楷体"/>
          <w:sz w:val="24"/>
        </w:rPr>
        <w:t>名：光彩银星拍卖有限公司</w:t>
      </w:r>
    </w:p>
    <w:p>
      <w:pPr>
        <w:spacing w:line="360" w:lineRule="auto"/>
        <w:ind w:firstLine="480" w:firstLineChars="200"/>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中国银行济南高新支行</w:t>
      </w:r>
    </w:p>
    <w:p>
      <w:pPr>
        <w:tabs>
          <w:tab w:val="left" w:pos="1260"/>
        </w:tabs>
        <w:snapToGrid w:val="0"/>
        <w:spacing w:line="360" w:lineRule="auto"/>
        <w:ind w:right="-87" w:firstLine="480" w:firstLineChars="200"/>
        <w:rPr>
          <w:rFonts w:hint="eastAsia" w:ascii="楷体" w:hAnsi="楷体" w:eastAsia="楷体"/>
          <w:sz w:val="24"/>
        </w:rPr>
      </w:pPr>
      <w:r>
        <w:rPr>
          <w:rFonts w:hint="eastAsia" w:ascii="楷体" w:hAnsi="楷体" w:eastAsia="楷体"/>
          <w:sz w:val="24"/>
        </w:rPr>
        <w:t>账　　号：218221410029</w:t>
      </w:r>
    </w:p>
    <w:p>
      <w:pPr>
        <w:tabs>
          <w:tab w:val="left" w:pos="1260"/>
        </w:tabs>
        <w:snapToGrid w:val="0"/>
        <w:spacing w:line="360" w:lineRule="auto"/>
        <w:ind w:right="-87" w:firstLine="480"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i w:val="0"/>
          <w:iCs w:val="0"/>
          <w:color w:val="auto"/>
          <w:sz w:val="24"/>
          <w:szCs w:val="24"/>
        </w:rPr>
        <w:t>6</w:t>
      </w:r>
      <w:r>
        <w:rPr>
          <w:rFonts w:hint="eastAsia" w:ascii="仿宋_GB2312" w:hAnsi="Times New Roman" w:eastAsia="仿宋_GB2312" w:cs="Times New Roman"/>
          <w:b/>
          <w:i w:val="0"/>
          <w:iCs w:val="0"/>
          <w:color w:val="auto"/>
          <w:sz w:val="24"/>
          <w:szCs w:val="24"/>
        </w:rPr>
        <w:t>.5 付款金额确认</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eastAsia="楷体_GB2312" w:cs="Times New Roman"/>
          <w:i w:val="0"/>
          <w:iCs w:val="0"/>
          <w:color w:val="auto"/>
          <w:sz w:val="24"/>
          <w:szCs w:val="24"/>
          <w:lang w:val="en-US" w:eastAsia="zh-CN"/>
        </w:rPr>
        <w:t>拍卖方</w:t>
      </w:r>
      <w:r>
        <w:rPr>
          <w:rFonts w:hint="eastAsia" w:ascii="楷体_GB2312" w:hAnsi="Times New Roman" w:eastAsia="楷体_GB2312" w:cs="Times New Roman"/>
          <w:i w:val="0"/>
          <w:iCs w:val="0"/>
          <w:color w:val="auto"/>
          <w:sz w:val="24"/>
          <w:szCs w:val="24"/>
        </w:rPr>
        <w:t>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bookmarkStart w:id="2" w:name="_Ref120351919"/>
      <w:r>
        <w:rPr>
          <w:rFonts w:hint="eastAsia" w:ascii="仿宋_GB2312" w:hAnsi="Times New Roman" w:eastAsia="仿宋_GB2312" w:cs="Times New Roman"/>
          <w:b/>
          <w:i w:val="0"/>
          <w:iCs w:val="0"/>
          <w:color w:val="auto"/>
          <w:sz w:val="24"/>
          <w:szCs w:val="24"/>
        </w:rPr>
        <w:t>第七条  贷款债权的交割</w:t>
      </w: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7.1 交割日的确定</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7.1.1 甲乙双方一致确认，第7.2款约定的交割条件全部成就后的第10个工作日为交割日。但若在交割日前，甲方未能足额收到乙方按照第八条约定的过渡期服务报酬的，则交割日自动顺延至甲方足额收到前述过渡期服务报酬之次日。</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7.1.2 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7.1.3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7.2 交割条件</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在符合下述全部条件的前提下，双方应进行贷款债权的交割：</w:t>
      </w:r>
    </w:p>
    <w:p>
      <w:pPr>
        <w:spacing w:line="360" w:lineRule="auto"/>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7.2.1</w:t>
      </w:r>
      <w:r>
        <w:rPr>
          <w:rFonts w:hint="eastAsia" w:ascii="楷体_GB2312" w:hAnsi="Times New Roman" w:eastAsia="楷体_GB2312" w:cs="Times New Roman"/>
          <w:i w:val="0"/>
          <w:iCs w:val="0"/>
          <w:color w:val="auto"/>
          <w:sz w:val="24"/>
          <w:szCs w:val="24"/>
        </w:rPr>
        <w:t xml:space="preserve"> 甲方已经足额收到乙方直接支付的《拍卖成交确认书》及本协议项下约定的全部价款、过渡期服务报酬、以及第10.3款约定的违约金等全部款项，且拍卖机构已经足额收到乙方依据《拍卖成交确认书》应向其支付的拍卖佣金。</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7.2.2 截至交割日，乙方已经在所有重要方面履行并继续履行其在本协议项下约定的交割前的全部承诺或约定。</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7.2.3截至交割日，乙方在本协议项下所作的声明和保证在交割日在所有重要方面是真实准确的，如同该等声明和保证系于交割日作出的一样。</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7.2.4 甲方已就本协议项下贷款债权的转让获得甲方认为根据中华人民共和国法律所必要的相关政府机构备案确认或批准文件。</w:t>
      </w: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7</w:t>
      </w:r>
      <w:r>
        <w:rPr>
          <w:rFonts w:ascii="仿宋_GB2312" w:hAnsi="Times New Roman" w:eastAsia="仿宋_GB2312" w:cs="Times New Roman"/>
          <w:b/>
          <w:i w:val="0"/>
          <w:iCs w:val="0"/>
          <w:color w:val="auto"/>
          <w:sz w:val="24"/>
          <w:szCs w:val="24"/>
        </w:rPr>
        <w:t>.</w:t>
      </w:r>
      <w:r>
        <w:rPr>
          <w:rFonts w:hint="eastAsia" w:ascii="仿宋_GB2312" w:hAnsi="Times New Roman" w:eastAsia="仿宋_GB2312" w:cs="Times New Roman"/>
          <w:b/>
          <w:i w:val="0"/>
          <w:iCs w:val="0"/>
          <w:color w:val="auto"/>
          <w:sz w:val="24"/>
          <w:szCs w:val="24"/>
        </w:rPr>
        <w:t xml:space="preserve">3 </w:t>
      </w:r>
      <w:r>
        <w:rPr>
          <w:rFonts w:ascii="仿宋_GB2312" w:hAnsi="Times New Roman" w:eastAsia="仿宋_GB2312" w:cs="Times New Roman"/>
          <w:b/>
          <w:i w:val="0"/>
          <w:iCs w:val="0"/>
          <w:color w:val="auto"/>
          <w:sz w:val="24"/>
          <w:szCs w:val="24"/>
        </w:rPr>
        <w:t>交割前的准备</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交割前，甲方应向乙方提交一份《回收及费用结算明细表》，列明</w:t>
      </w:r>
      <w:r>
        <w:rPr>
          <w:rFonts w:hint="eastAsia" w:ascii="楷体_GB2312" w:hAnsi="Times New Roman" w:eastAsia="楷体_GB2312" w:cs="Times New Roman"/>
          <w:i w:val="0"/>
          <w:iCs w:val="0"/>
          <w:color w:val="auto"/>
          <w:sz w:val="24"/>
          <w:szCs w:val="24"/>
        </w:rPr>
        <w:t>基准日后对本次交割的贷款债权进行</w:t>
      </w:r>
      <w:r>
        <w:rPr>
          <w:rFonts w:ascii="楷体_GB2312" w:hAnsi="Times New Roman" w:eastAsia="楷体_GB2312" w:cs="Times New Roman"/>
          <w:i w:val="0"/>
          <w:iCs w:val="0"/>
          <w:color w:val="auto"/>
          <w:sz w:val="24"/>
          <w:szCs w:val="24"/>
        </w:rPr>
        <w:t>处置</w:t>
      </w:r>
      <w:r>
        <w:rPr>
          <w:rFonts w:hint="eastAsia" w:ascii="楷体_GB2312" w:hAnsi="Times New Roman" w:eastAsia="楷体_GB2312" w:cs="Times New Roman"/>
          <w:i w:val="0"/>
          <w:iCs w:val="0"/>
          <w:color w:val="auto"/>
          <w:sz w:val="24"/>
          <w:szCs w:val="24"/>
        </w:rPr>
        <w:t>实现的现金及非现金</w:t>
      </w:r>
      <w:r>
        <w:rPr>
          <w:rFonts w:ascii="楷体_GB2312" w:hAnsi="Times New Roman" w:eastAsia="楷体_GB2312" w:cs="Times New Roman"/>
          <w:i w:val="0"/>
          <w:iCs w:val="0"/>
          <w:color w:val="auto"/>
          <w:sz w:val="24"/>
          <w:szCs w:val="24"/>
        </w:rPr>
        <w:t>回收、</w:t>
      </w:r>
      <w:r>
        <w:rPr>
          <w:rFonts w:hint="eastAsia" w:ascii="楷体_GB2312" w:hAnsi="Times New Roman" w:eastAsia="楷体_GB2312" w:cs="Times New Roman"/>
          <w:i w:val="0"/>
          <w:iCs w:val="0"/>
          <w:color w:val="auto"/>
          <w:sz w:val="24"/>
          <w:szCs w:val="24"/>
        </w:rPr>
        <w:t>发生的</w:t>
      </w:r>
      <w:r>
        <w:rPr>
          <w:rFonts w:ascii="楷体_GB2312" w:hAnsi="Times New Roman" w:eastAsia="楷体_GB2312" w:cs="Times New Roman"/>
          <w:i w:val="0"/>
          <w:iCs w:val="0"/>
          <w:color w:val="auto"/>
          <w:sz w:val="24"/>
          <w:szCs w:val="24"/>
        </w:rPr>
        <w:t>处置费用</w:t>
      </w:r>
      <w:r>
        <w:rPr>
          <w:rFonts w:hint="eastAsia" w:ascii="楷体_GB2312" w:hAnsi="Times New Roman" w:eastAsia="楷体_GB2312" w:cs="Times New Roman"/>
          <w:i w:val="0"/>
          <w:iCs w:val="0"/>
          <w:color w:val="auto"/>
          <w:sz w:val="24"/>
          <w:szCs w:val="24"/>
        </w:rPr>
        <w:t>、应收取的</w:t>
      </w:r>
      <w:r>
        <w:rPr>
          <w:rFonts w:ascii="楷体_GB2312" w:hAnsi="Times New Roman" w:eastAsia="楷体_GB2312" w:cs="Times New Roman"/>
          <w:i w:val="0"/>
          <w:iCs w:val="0"/>
          <w:color w:val="auto"/>
          <w:sz w:val="24"/>
          <w:szCs w:val="24"/>
        </w:rPr>
        <w:t>过渡期服务</w:t>
      </w:r>
      <w:r>
        <w:rPr>
          <w:rFonts w:hint="eastAsia" w:ascii="楷体_GB2312" w:hAnsi="Times New Roman" w:eastAsia="楷体_GB2312" w:cs="Times New Roman"/>
          <w:i w:val="0"/>
          <w:iCs w:val="0"/>
          <w:color w:val="auto"/>
          <w:sz w:val="24"/>
          <w:szCs w:val="24"/>
        </w:rPr>
        <w:t>报酬</w:t>
      </w:r>
      <w:r>
        <w:rPr>
          <w:rFonts w:ascii="楷体_GB2312" w:hAnsi="Times New Roman" w:eastAsia="楷体_GB2312" w:cs="Times New Roman"/>
          <w:i w:val="0"/>
          <w:iCs w:val="0"/>
          <w:color w:val="auto"/>
          <w:sz w:val="24"/>
          <w:szCs w:val="24"/>
        </w:rPr>
        <w:t>并</w:t>
      </w:r>
      <w:r>
        <w:rPr>
          <w:rFonts w:hint="eastAsia" w:ascii="楷体_GB2312" w:hAnsi="Times New Roman" w:eastAsia="楷体_GB2312" w:cs="Times New Roman"/>
          <w:i w:val="0"/>
          <w:iCs w:val="0"/>
          <w:color w:val="auto"/>
          <w:sz w:val="24"/>
          <w:szCs w:val="24"/>
        </w:rPr>
        <w:t>附相关的证明材料</w:t>
      </w:r>
      <w:r>
        <w:rPr>
          <w:rFonts w:ascii="楷体_GB2312" w:hAnsi="Times New Roman" w:eastAsia="楷体_GB2312" w:cs="Times New Roman"/>
          <w:i w:val="0"/>
          <w:iCs w:val="0"/>
          <w:color w:val="auto"/>
          <w:sz w:val="24"/>
          <w:szCs w:val="24"/>
        </w:rPr>
        <w:t>。</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甲方在过渡期内取得的与主张和行使贷款债权有关的法律文件及相关的服务协议应制作成《贷款债权证明文件补充清单》（见附件四）在交易日一并移交乙方。</w:t>
      </w:r>
    </w:p>
    <w:p>
      <w:pPr>
        <w:spacing w:line="360" w:lineRule="auto"/>
        <w:ind w:firstLine="482" w:firstLineChars="200"/>
        <w:rPr>
          <w:rFonts w:ascii="黑体" w:hAnsi="Times New Roman" w:eastAsia="黑体" w:cs="Times New Roman"/>
          <w:b/>
          <w:i w:val="0"/>
          <w:iCs w:val="0"/>
          <w:color w:val="auto"/>
          <w:sz w:val="24"/>
          <w:szCs w:val="24"/>
        </w:rPr>
      </w:pPr>
      <w:r>
        <w:rPr>
          <w:rFonts w:hint="eastAsia" w:ascii="黑体" w:hAnsi="Times New Roman" w:eastAsia="黑体" w:cs="Times New Roman"/>
          <w:b/>
          <w:i w:val="0"/>
          <w:iCs w:val="0"/>
          <w:color w:val="auto"/>
          <w:sz w:val="24"/>
          <w:szCs w:val="24"/>
        </w:rPr>
        <w:t>7.4 贷款债权的交割及贷款债权证明文件的移交</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7.4.1 双方确认，在交割日，贷款债权按照交割日的现状一次性地从甲方转移至乙方。即乙方应无条件接受基准日至交割日贷款债权发生的任何变化。</w:t>
      </w:r>
      <w:r>
        <w:rPr>
          <w:rFonts w:hint="eastAsia" w:ascii="黑体" w:hAnsi="Times New Roman" w:eastAsia="黑体" w:cs="Times New Roman"/>
          <w:bCs/>
          <w:i w:val="0"/>
          <w:iCs w:val="0"/>
          <w:color w:val="auto"/>
          <w:sz w:val="24"/>
          <w:szCs w:val="24"/>
        </w:rPr>
        <w:t>若在过渡期内，甲方对</w:t>
      </w:r>
      <w:r>
        <w:rPr>
          <w:rFonts w:hint="eastAsia" w:ascii="黑体" w:hAnsi="Times New Roman" w:eastAsia="黑体" w:cs="Times New Roman"/>
          <w:i w:val="0"/>
          <w:iCs w:val="0"/>
          <w:color w:val="auto"/>
          <w:sz w:val="24"/>
          <w:szCs w:val="24"/>
        </w:rPr>
        <w:t>贷款债权进行处置实现了现金及非现金回收的，则在交割时甲方应将回收的现金及非现金扣除已发生的处置费用以及按照本协议8.4款应向乙方收取的过渡期服务报酬后的余额（不含利息）在交割日后10个工作日内移交给乙方。</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7.4.2</w:t>
      </w:r>
      <w:r>
        <w:rPr>
          <w:rFonts w:hint="eastAsia" w:ascii="黑体" w:hAnsi="Times New Roman" w:eastAsia="黑体" w:cs="Times New Roman"/>
          <w:bCs/>
          <w:i w:val="0"/>
          <w:iCs w:val="0"/>
          <w:color w:val="auto"/>
          <w:sz w:val="24"/>
          <w:szCs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黑体" w:hAnsi="Times New Roman" w:eastAsia="黑体" w:cs="Times New Roman"/>
          <w:i w:val="0"/>
          <w:iCs w:val="0"/>
          <w:color w:val="auto"/>
          <w:sz w:val="24"/>
          <w:szCs w:val="24"/>
        </w:rPr>
        <w:t>该收据一经签署并交付，即无条件地证明甲方在本协议项下的文件（包括但不限于贷款债权证明文件）交付义务已履行完毕。若乙方延迟签发或拒绝签发</w:t>
      </w:r>
      <w:r>
        <w:rPr>
          <w:rFonts w:hint="eastAsia" w:ascii="黑体" w:hAnsi="Times New Roman" w:eastAsia="黑体" w:cs="Times New Roman"/>
          <w:bCs/>
          <w:i w:val="0"/>
          <w:iCs w:val="0"/>
          <w:color w:val="auto"/>
          <w:sz w:val="24"/>
          <w:szCs w:val="24"/>
        </w:rPr>
        <w:t>贷款债权证明文件及服务协议收据的，甲方有权将交割日顺延至乙方</w:t>
      </w:r>
      <w:r>
        <w:rPr>
          <w:rFonts w:hint="eastAsia" w:ascii="黑体" w:hAnsi="Times New Roman" w:eastAsia="黑体" w:cs="Times New Roman"/>
          <w:i w:val="0"/>
          <w:iCs w:val="0"/>
          <w:color w:val="auto"/>
          <w:sz w:val="24"/>
          <w:szCs w:val="24"/>
        </w:rPr>
        <w:t>签发</w:t>
      </w:r>
      <w:r>
        <w:rPr>
          <w:rFonts w:hint="eastAsia" w:ascii="黑体" w:hAnsi="Times New Roman" w:eastAsia="黑体" w:cs="Times New Roman"/>
          <w:bCs/>
          <w:i w:val="0"/>
          <w:iCs w:val="0"/>
          <w:color w:val="auto"/>
          <w:sz w:val="24"/>
          <w:szCs w:val="24"/>
        </w:rPr>
        <w:t>贷款债权证明文件及服务协议收据之日，并在该日向乙方交付贷款债权证明文件及服务协议</w:t>
      </w:r>
      <w:r>
        <w:rPr>
          <w:rFonts w:hint="eastAsia" w:ascii="黑体" w:hAnsi="Times New Roman" w:eastAsia="黑体" w:cs="Times New Roman"/>
          <w:i w:val="0"/>
          <w:iCs w:val="0"/>
          <w:color w:val="auto"/>
          <w:sz w:val="24"/>
          <w:szCs w:val="24"/>
        </w:rPr>
        <w:t>。</w:t>
      </w:r>
    </w:p>
    <w:p>
      <w:pPr>
        <w:spacing w:line="360" w:lineRule="auto"/>
        <w:ind w:firstLine="480" w:firstLineChars="200"/>
        <w:rPr>
          <w:rFonts w:ascii="黑体" w:hAnsi="Times New Roman" w:eastAsia="黑体" w:cs="Times New Roman"/>
          <w:bCs/>
          <w:i w:val="0"/>
          <w:iCs w:val="0"/>
          <w:color w:val="auto"/>
          <w:sz w:val="24"/>
          <w:szCs w:val="24"/>
        </w:rPr>
      </w:pPr>
      <w:r>
        <w:rPr>
          <w:rFonts w:hint="eastAsia" w:ascii="黑体" w:hAnsi="Times New Roman" w:eastAsia="黑体" w:cs="Times New Roman"/>
          <w:bCs/>
          <w:i w:val="0"/>
          <w:iCs w:val="0"/>
          <w:color w:val="auto"/>
          <w:sz w:val="24"/>
          <w:szCs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ascii="仿宋_GB2312" w:hAnsi="Times New Roman" w:eastAsia="仿宋_GB2312" w:cs="Times New Roman"/>
          <w:b/>
          <w:bCs/>
          <w:i w:val="0"/>
          <w:iCs w:val="0"/>
          <w:color w:val="auto"/>
          <w:sz w:val="24"/>
          <w:szCs w:val="24"/>
        </w:rPr>
      </w:pPr>
      <w:r>
        <w:rPr>
          <w:rFonts w:hint="eastAsia" w:ascii="仿宋_GB2312" w:hAnsi="Times New Roman" w:eastAsia="仿宋_GB2312" w:cs="Times New Roman"/>
          <w:b/>
          <w:bCs/>
          <w:i w:val="0"/>
          <w:iCs w:val="0"/>
          <w:color w:val="auto"/>
          <w:sz w:val="24"/>
          <w:szCs w:val="24"/>
        </w:rPr>
        <w:t>7.5 交割后的合作</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7.5.1 甲乙双方应在贷款债权全部交割后，采取公告通知的方式在           </w:t>
      </w:r>
      <w:r>
        <w:rPr>
          <w:rFonts w:hint="eastAsia" w:ascii="楷体_GB2312" w:hAnsi="Times New Roman" w:eastAsia="楷体_GB2312" w:cs="Times New Roman"/>
          <w:i w:val="0"/>
          <w:iCs w:val="0"/>
          <w:color w:val="auto"/>
          <w:sz w:val="24"/>
          <w:szCs w:val="24"/>
          <w:lang w:eastAsia="zh-CN"/>
        </w:rPr>
        <w:t>《</w:t>
      </w:r>
      <w:r>
        <w:rPr>
          <w:rFonts w:hint="eastAsia" w:ascii="楷体_GB2312" w:hAnsi="Times New Roman" w:eastAsia="楷体_GB2312" w:cs="Times New Roman"/>
          <w:i w:val="0"/>
          <w:iCs w:val="0"/>
          <w:color w:val="auto"/>
          <w:sz w:val="24"/>
          <w:szCs w:val="24"/>
          <w:lang w:val="en-US" w:eastAsia="zh-CN"/>
        </w:rPr>
        <w:t>山东法制报》</w:t>
      </w:r>
      <w:r>
        <w:rPr>
          <w:rFonts w:hint="eastAsia" w:ascii="楷体_GB2312" w:hAnsi="Times New Roman" w:eastAsia="楷体_GB2312" w:cs="Times New Roman"/>
          <w:i w:val="0"/>
          <w:iCs w:val="0"/>
          <w:color w:val="auto"/>
          <w:sz w:val="24"/>
          <w:szCs w:val="24"/>
        </w:rPr>
        <w:t>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7.5.3 交割后，必要时甲方可应乙方要求并按照本协议附件六规定的格式出具《债权转让确认函》。</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7.5.4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乙方承诺不因抵债资产过户不能或不能实际占有，而向甲方及甲方前手权利人主张回购该项债权或要求甲方及甲方前手权利人承担赔偿责任。</w:t>
      </w:r>
    </w:p>
    <w:p>
      <w:pPr>
        <w:spacing w:line="360" w:lineRule="auto"/>
        <w:ind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7.5.5 交割日后，甲方将根据相关规定，出具必要的债权转移证明文件，配合和协助乙方办理已转让的贷款债权所涉及的诉讼（含执行）主体变更手续，但甲方及甲方前手权利人不对是否能够实现变更承担任何责任，乙方亦不得因为不能变更诉讼（含执行）主体而向甲方及甲方前手权利人主张回购该项债权或要求甲方及甲方前手权利人承担赔偿责任。</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7.5.6 乙方应当在贷款债权交割后3个月内向甲方提出上述协助义务的请求，乙方逾期未提出申请的，相关风险、责任和法律后果由乙方自行承担，且甲方有权选择不再提供协助义务。除本条另有约定外，甲方在任何时间均无须为履行本条所述协助义务承担任何费用。</w:t>
      </w:r>
    </w:p>
    <w:p>
      <w:pPr>
        <w:spacing w:line="360" w:lineRule="auto"/>
        <w:ind w:firstLine="482" w:firstLineChars="200"/>
        <w:rPr>
          <w:rFonts w:ascii="黑体" w:hAnsi="Times New Roman" w:eastAsia="黑体" w:cs="Times New Roman"/>
          <w:b/>
          <w:bCs/>
          <w:i w:val="0"/>
          <w:iCs w:val="0"/>
          <w:color w:val="auto"/>
          <w:sz w:val="24"/>
          <w:szCs w:val="24"/>
        </w:rPr>
      </w:pPr>
      <w:r>
        <w:rPr>
          <w:rFonts w:hint="eastAsia" w:ascii="黑体" w:hAnsi="Times New Roman" w:eastAsia="黑体" w:cs="Times New Roman"/>
          <w:b/>
          <w:i w:val="0"/>
          <w:iCs w:val="0"/>
          <w:color w:val="auto"/>
          <w:sz w:val="24"/>
          <w:szCs w:val="24"/>
        </w:rPr>
        <w:t xml:space="preserve">7.6 </w:t>
      </w:r>
      <w:r>
        <w:rPr>
          <w:rFonts w:hint="eastAsia" w:ascii="黑体" w:hAnsi="Times New Roman" w:eastAsia="黑体" w:cs="Times New Roman"/>
          <w:b/>
          <w:bCs/>
          <w:i w:val="0"/>
          <w:iCs w:val="0"/>
          <w:color w:val="auto"/>
          <w:sz w:val="24"/>
          <w:szCs w:val="24"/>
        </w:rPr>
        <w:t>服务协议权利义务的转移</w:t>
      </w:r>
    </w:p>
    <w:p>
      <w:pPr>
        <w:spacing w:line="360" w:lineRule="auto"/>
        <w:ind w:firstLine="480" w:firstLineChars="200"/>
        <w:rPr>
          <w:rFonts w:ascii="黑体" w:hAnsi="Times New Roman" w:eastAsia="黑体" w:cs="Times New Roman"/>
          <w:bCs/>
          <w:i w:val="0"/>
          <w:iCs w:val="0"/>
          <w:color w:val="auto"/>
          <w:sz w:val="24"/>
          <w:szCs w:val="24"/>
        </w:rPr>
      </w:pPr>
      <w:r>
        <w:rPr>
          <w:rFonts w:ascii="楷体_GB2312" w:hAnsi="Times New Roman" w:eastAsia="楷体_GB2312" w:cs="Times New Roman"/>
          <w:i w:val="0"/>
          <w:iCs w:val="0"/>
          <w:color w:val="auto"/>
          <w:sz w:val="24"/>
          <w:szCs w:val="24"/>
        </w:rPr>
        <w:t xml:space="preserve">7.6.1 </w:t>
      </w:r>
      <w:r>
        <w:rPr>
          <w:rFonts w:hint="eastAsia" w:ascii="楷体_GB2312" w:hAnsi="Times New Roman" w:eastAsia="楷体_GB2312" w:cs="Times New Roman"/>
          <w:i w:val="0"/>
          <w:iCs w:val="0"/>
          <w:color w:val="auto"/>
          <w:sz w:val="24"/>
          <w:szCs w:val="24"/>
        </w:rPr>
        <w:t>本协议附件三已列明甲方不存在与相关中介机构签署的服务协议，本协议不涉及服务协议权利义务的转移事宜。</w:t>
      </w: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 xml:space="preserve">第八条  </w:t>
      </w:r>
      <w:r>
        <w:rPr>
          <w:rFonts w:ascii="仿宋_GB2312" w:hAnsi="Times New Roman" w:eastAsia="仿宋_GB2312" w:cs="Times New Roman"/>
          <w:b/>
          <w:i w:val="0"/>
          <w:iCs w:val="0"/>
          <w:color w:val="auto"/>
          <w:sz w:val="24"/>
          <w:szCs w:val="24"/>
        </w:rPr>
        <w:t>过渡期</w:t>
      </w:r>
      <w:r>
        <w:rPr>
          <w:rFonts w:hint="eastAsia" w:ascii="仿宋_GB2312" w:hAnsi="Times New Roman" w:eastAsia="仿宋_GB2312" w:cs="Times New Roman"/>
          <w:b/>
          <w:i w:val="0"/>
          <w:iCs w:val="0"/>
          <w:color w:val="auto"/>
          <w:sz w:val="24"/>
          <w:szCs w:val="24"/>
        </w:rPr>
        <w:t>贷款</w:t>
      </w:r>
      <w:r>
        <w:rPr>
          <w:rFonts w:ascii="仿宋_GB2312" w:hAnsi="Times New Roman" w:eastAsia="仿宋_GB2312" w:cs="Times New Roman"/>
          <w:b/>
          <w:i w:val="0"/>
          <w:iCs w:val="0"/>
          <w:color w:val="auto"/>
          <w:sz w:val="24"/>
          <w:szCs w:val="24"/>
        </w:rPr>
        <w:t>债权的管理</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spacing w:line="360" w:lineRule="auto"/>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8</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3 本协议生效</w:t>
      </w:r>
      <w:r>
        <w:rPr>
          <w:rFonts w:ascii="楷体_GB2312" w:hAnsi="Times New Roman" w:eastAsia="楷体_GB2312" w:cs="Times New Roman"/>
          <w:i w:val="0"/>
          <w:iCs w:val="0"/>
          <w:color w:val="auto"/>
          <w:sz w:val="24"/>
          <w:szCs w:val="24"/>
        </w:rPr>
        <w:t>日至交割日，甲方可自主决定</w:t>
      </w:r>
      <w:r>
        <w:rPr>
          <w:rFonts w:hint="eastAsia" w:ascii="楷体_GB2312" w:hAnsi="Times New Roman" w:eastAsia="楷体_GB2312" w:cs="Times New Roman"/>
          <w:i w:val="0"/>
          <w:iCs w:val="0"/>
          <w:color w:val="auto"/>
          <w:sz w:val="24"/>
          <w:szCs w:val="24"/>
        </w:rPr>
        <w:t>贷款</w:t>
      </w:r>
      <w:r>
        <w:rPr>
          <w:rFonts w:ascii="楷体_GB2312" w:hAnsi="Times New Roman" w:eastAsia="楷体_GB2312" w:cs="Times New Roman"/>
          <w:i w:val="0"/>
          <w:iCs w:val="0"/>
          <w:color w:val="auto"/>
          <w:sz w:val="24"/>
          <w:szCs w:val="24"/>
        </w:rPr>
        <w:t>债权</w:t>
      </w:r>
      <w:r>
        <w:rPr>
          <w:rFonts w:hint="eastAsia" w:ascii="楷体_GB2312" w:hAnsi="Times New Roman" w:eastAsia="楷体_GB2312" w:cs="Times New Roman"/>
          <w:i w:val="0"/>
          <w:iCs w:val="0"/>
          <w:color w:val="auto"/>
          <w:sz w:val="24"/>
          <w:szCs w:val="24"/>
        </w:rPr>
        <w:t>的</w:t>
      </w:r>
      <w:r>
        <w:rPr>
          <w:rFonts w:ascii="楷体_GB2312" w:hAnsi="Times New Roman" w:eastAsia="楷体_GB2312" w:cs="Times New Roman"/>
          <w:i w:val="0"/>
          <w:iCs w:val="0"/>
          <w:color w:val="auto"/>
          <w:sz w:val="24"/>
          <w:szCs w:val="24"/>
        </w:rPr>
        <w:t>日常维护</w:t>
      </w:r>
      <w:r>
        <w:rPr>
          <w:rFonts w:hint="eastAsia" w:ascii="楷体_GB2312" w:hAnsi="Times New Roman" w:eastAsia="楷体_GB2312" w:cs="Times New Roman"/>
          <w:i w:val="0"/>
          <w:iCs w:val="0"/>
          <w:color w:val="auto"/>
          <w:sz w:val="24"/>
          <w:szCs w:val="24"/>
        </w:rPr>
        <w:t>和管理</w:t>
      </w:r>
      <w:r>
        <w:rPr>
          <w:rFonts w:ascii="楷体_GB2312" w:hAnsi="Times New Roman" w:eastAsia="楷体_GB2312" w:cs="Times New Roman"/>
          <w:i w:val="0"/>
          <w:iCs w:val="0"/>
          <w:color w:val="auto"/>
          <w:sz w:val="24"/>
          <w:szCs w:val="24"/>
        </w:rPr>
        <w:t>工作，</w:t>
      </w:r>
      <w:r>
        <w:rPr>
          <w:rFonts w:hint="eastAsia" w:ascii="楷体_GB2312" w:hAnsi="Times New Roman" w:eastAsia="楷体_GB2312" w:cs="Times New Roman"/>
          <w:i w:val="0"/>
          <w:iCs w:val="0"/>
          <w:color w:val="auto"/>
          <w:sz w:val="24"/>
          <w:szCs w:val="24"/>
        </w:rPr>
        <w:t>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8.4 甲方有权就过渡期对贷款债权提供的服务向乙方收取服务报酬（过渡期服务报酬）。过渡期服务报酬为：</w:t>
      </w:r>
      <w:r>
        <w:rPr>
          <w:rFonts w:hint="eastAsia" w:ascii="楷体_GB2312" w:hAnsi="Times New Roman" w:eastAsia="楷体_GB2312" w:cs="Times New Roman"/>
          <w:i w:val="0"/>
          <w:iCs w:val="0"/>
          <w:color w:val="auto"/>
          <w:sz w:val="24"/>
          <w:szCs w:val="24"/>
          <w:lang w:val="en-US" w:eastAsia="zh-CN"/>
        </w:rPr>
        <w:t>零</w:t>
      </w:r>
      <w:r>
        <w:rPr>
          <w:rFonts w:hint="eastAsia" w:ascii="楷体_GB2312" w:hAnsi="Times New Roman" w:eastAsia="楷体_GB2312" w:cs="Times New Roman"/>
          <w:i w:val="0"/>
          <w:iCs w:val="0"/>
          <w:color w:val="auto"/>
          <w:sz w:val="24"/>
          <w:szCs w:val="24"/>
        </w:rPr>
        <w:t>。</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 xml:space="preserve">第九条  </w:t>
      </w:r>
      <w:r>
        <w:rPr>
          <w:rFonts w:ascii="仿宋_GB2312" w:hAnsi="Times New Roman" w:eastAsia="仿宋_GB2312" w:cs="Times New Roman"/>
          <w:b/>
          <w:i w:val="0"/>
          <w:iCs w:val="0"/>
          <w:color w:val="auto"/>
          <w:sz w:val="24"/>
          <w:szCs w:val="24"/>
        </w:rPr>
        <w:t>声明与保证</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9.1甲方的声明和保证</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9.1.1 </w:t>
      </w:r>
      <w:r>
        <w:rPr>
          <w:rFonts w:hint="eastAsia" w:ascii="仿宋_GB2312" w:hAnsi="Times New Roman" w:eastAsia="仿宋_GB2312" w:cs="Times New Roman"/>
          <w:b/>
          <w:i w:val="0"/>
          <w:iCs w:val="0"/>
          <w:color w:val="auto"/>
          <w:sz w:val="24"/>
          <w:szCs w:val="24"/>
        </w:rPr>
        <w:t>签约和履约资格保证</w:t>
      </w:r>
      <w:r>
        <w:rPr>
          <w:rFonts w:hint="eastAsia" w:ascii="仿宋_GB2312" w:hAnsi="Times New Roman" w:eastAsia="仿宋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ascii="楷体_GB2312" w:hAnsi="Times New Roman" w:eastAsia="楷体_GB2312" w:cs="Times New Roman"/>
          <w:i w:val="0"/>
          <w:iCs w:val="0"/>
          <w:color w:val="auto"/>
          <w:sz w:val="24"/>
          <w:szCs w:val="24"/>
        </w:rPr>
      </w:pPr>
      <w:r>
        <w:rPr>
          <w:rFonts w:hint="eastAsia" w:ascii="仿宋_GB2312" w:hAnsi="Times New Roman" w:eastAsia="仿宋_GB2312" w:cs="Times New Roman"/>
          <w:i w:val="0"/>
          <w:iCs w:val="0"/>
          <w:color w:val="auto"/>
          <w:sz w:val="24"/>
          <w:szCs w:val="24"/>
        </w:rPr>
        <w:t xml:space="preserve">9.1.2 </w:t>
      </w:r>
      <w:r>
        <w:rPr>
          <w:rFonts w:hint="eastAsia" w:ascii="仿宋_GB2312" w:hAnsi="Times New Roman" w:eastAsia="仿宋_GB2312" w:cs="Times New Roman"/>
          <w:b/>
          <w:i w:val="0"/>
          <w:iCs w:val="0"/>
          <w:color w:val="auto"/>
          <w:sz w:val="24"/>
          <w:szCs w:val="24"/>
        </w:rPr>
        <w:t>诚信管理的保证</w:t>
      </w:r>
      <w:r>
        <w:rPr>
          <w:rFonts w:hint="eastAsia" w:ascii="仿宋_GB2312" w:hAnsi="Times New Roman" w:eastAsia="仿宋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自本协议生效日至交割日期间，甲方将严格遵循国家及内部相关规定管理与处置贷款债权，除本协议第八条约定情形外，甲方不采取任何可能妨碍或限制乙方受让贷款债权后权利行使的单方行动。</w:t>
      </w:r>
      <w:bookmarkStart w:id="3" w:name="_Ref120355173"/>
    </w:p>
    <w:bookmarkEnd w:id="3"/>
    <w:p>
      <w:pPr>
        <w:tabs>
          <w:tab w:val="left" w:pos="1260"/>
        </w:tabs>
        <w:snapToGrid w:val="0"/>
        <w:spacing w:line="360" w:lineRule="auto"/>
        <w:ind w:right="-87" w:firstLine="482" w:firstLineChars="200"/>
        <w:rPr>
          <w:rFonts w:ascii="黑体" w:hAnsi="Times New Roman" w:eastAsia="黑体" w:cs="Times New Roman"/>
          <w:b/>
          <w:i w:val="0"/>
          <w:iCs w:val="0"/>
          <w:color w:val="auto"/>
          <w:sz w:val="24"/>
          <w:szCs w:val="24"/>
        </w:rPr>
      </w:pPr>
      <w:r>
        <w:rPr>
          <w:rFonts w:hint="eastAsia" w:ascii="黑体" w:hAnsi="Times New Roman" w:eastAsia="黑体" w:cs="Times New Roman"/>
          <w:b/>
          <w:i w:val="0"/>
          <w:iCs w:val="0"/>
          <w:color w:val="auto"/>
          <w:sz w:val="24"/>
          <w:szCs w:val="24"/>
        </w:rPr>
        <w:t>9.2 乙方的声明和保证</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 xml:space="preserve">9.2.1 </w:t>
      </w:r>
      <w:r>
        <w:rPr>
          <w:rFonts w:hint="eastAsia" w:ascii="黑体" w:hAnsi="Times New Roman" w:eastAsia="黑体" w:cs="Times New Roman"/>
          <w:b/>
          <w:i w:val="0"/>
          <w:iCs w:val="0"/>
          <w:color w:val="auto"/>
          <w:sz w:val="24"/>
          <w:szCs w:val="24"/>
        </w:rPr>
        <w:t>签约和履约资格保证：</w:t>
      </w:r>
      <w:r>
        <w:rPr>
          <w:rFonts w:hint="eastAsia" w:ascii="黑体" w:hAnsi="Times New Roman" w:eastAsia="黑体" w:cs="Times New Roman"/>
          <w:i w:val="0"/>
          <w:iCs w:val="0"/>
          <w:color w:val="auto"/>
          <w:sz w:val="24"/>
          <w:szCs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9.2.2</w:t>
      </w:r>
      <w:r>
        <w:rPr>
          <w:rFonts w:hint="eastAsia" w:ascii="黑体" w:hAnsi="Times New Roman" w:eastAsia="黑体" w:cs="Times New Roman"/>
          <w:b/>
          <w:i w:val="0"/>
          <w:iCs w:val="0"/>
          <w:color w:val="auto"/>
          <w:sz w:val="24"/>
          <w:szCs w:val="24"/>
        </w:rPr>
        <w:t xml:space="preserve"> 非欺骗保证：</w:t>
      </w:r>
      <w:r>
        <w:rPr>
          <w:rFonts w:hint="eastAsia" w:ascii="黑体" w:hAnsi="Times New Roman" w:eastAsia="黑体" w:cs="Times New Roman"/>
          <w:i w:val="0"/>
          <w:iCs w:val="0"/>
          <w:color w:val="auto"/>
          <w:sz w:val="24"/>
          <w:szCs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9.2.3</w:t>
      </w:r>
      <w:r>
        <w:rPr>
          <w:rFonts w:hint="eastAsia" w:ascii="黑体" w:hAnsi="Times New Roman" w:eastAsia="黑体" w:cs="Times New Roman"/>
          <w:b/>
          <w:i w:val="0"/>
          <w:iCs w:val="0"/>
          <w:color w:val="auto"/>
          <w:sz w:val="24"/>
          <w:szCs w:val="24"/>
        </w:rPr>
        <w:t>审慎调查和独立判断保证</w:t>
      </w:r>
      <w:r>
        <w:rPr>
          <w:rFonts w:hint="eastAsia" w:ascii="黑体" w:hAnsi="Times New Roman" w:eastAsia="黑体" w:cs="Times New Roman"/>
          <w:i w:val="0"/>
          <w:iCs w:val="0"/>
          <w:color w:val="auto"/>
          <w:sz w:val="24"/>
          <w:szCs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 xml:space="preserve">9.2.4 </w:t>
      </w:r>
      <w:r>
        <w:rPr>
          <w:rFonts w:hint="eastAsia" w:ascii="黑体" w:hAnsi="Times New Roman" w:eastAsia="黑体" w:cs="Times New Roman"/>
          <w:b/>
          <w:i w:val="0"/>
          <w:iCs w:val="0"/>
          <w:color w:val="auto"/>
          <w:sz w:val="24"/>
          <w:szCs w:val="24"/>
        </w:rPr>
        <w:t>乙方特别承诺</w:t>
      </w:r>
      <w:r>
        <w:rPr>
          <w:rFonts w:hint="eastAsia" w:ascii="黑体" w:hAnsi="Times New Roman" w:eastAsia="黑体" w:cs="Times New Roman"/>
          <w:i w:val="0"/>
          <w:iCs w:val="0"/>
          <w:color w:val="auto"/>
          <w:sz w:val="24"/>
          <w:szCs w:val="24"/>
        </w:rPr>
        <w:t>：</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ascii="黑体" w:hAnsi="Times New Roman" w:eastAsia="黑体" w:cs="Times New Roman"/>
          <w:b/>
          <w:i w:val="0"/>
          <w:iCs w:val="0"/>
          <w:color w:val="auto"/>
          <w:sz w:val="24"/>
          <w:szCs w:val="24"/>
        </w:rPr>
      </w:pPr>
      <w:r>
        <w:rPr>
          <w:rFonts w:hint="eastAsia" w:ascii="黑体" w:hAnsi="Times New Roman" w:eastAsia="黑体" w:cs="Times New Roman"/>
          <w:i w:val="0"/>
          <w:iCs w:val="0"/>
          <w:color w:val="auto"/>
          <w:sz w:val="24"/>
          <w:szCs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r>
        <w:rPr>
          <w:rFonts w:hint="eastAsia" w:ascii="黑体" w:hAnsi="Times New Roman" w:eastAsia="黑体" w:cs="Times New Roman"/>
          <w:b/>
          <w:i w:val="0"/>
          <w:iCs w:val="0"/>
          <w:color w:val="auto"/>
          <w:sz w:val="24"/>
          <w:szCs w:val="24"/>
        </w:rPr>
        <w:t>（注：适用于乙方为境外投资者的情形）</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9.2.4.3 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9.2.4.4 除本协议第10.2款明确规定的以外，乙方保证不因任何原因要求甲方及甲方前手权利人对贷款债权进行回购，赔偿或要求甲方及甲方前手权利人承担任何责任。</w:t>
      </w:r>
    </w:p>
    <w:p>
      <w:pPr>
        <w:tabs>
          <w:tab w:val="left" w:pos="1260"/>
        </w:tabs>
        <w:snapToGrid w:val="0"/>
        <w:spacing w:line="360" w:lineRule="auto"/>
        <w:ind w:right="-87" w:firstLine="480" w:firstLineChars="200"/>
        <w:rPr>
          <w:rFonts w:ascii="黑体" w:hAnsi="Times New Roman" w:eastAsia="黑体" w:cs="Times New Roman"/>
          <w:b/>
          <w:bCs/>
          <w:i w:val="0"/>
          <w:iCs w:val="0"/>
          <w:color w:val="auto"/>
          <w:sz w:val="24"/>
          <w:szCs w:val="24"/>
        </w:rPr>
      </w:pPr>
      <w:r>
        <w:rPr>
          <w:rFonts w:hint="eastAsia" w:ascii="黑体" w:hAnsi="Times New Roman" w:eastAsia="黑体" w:cs="Times New Roman"/>
          <w:bCs/>
          <w:i w:val="0"/>
          <w:iCs w:val="0"/>
          <w:color w:val="auto"/>
          <w:sz w:val="24"/>
          <w:szCs w:val="24"/>
        </w:rPr>
        <w:t>9.2.5</w:t>
      </w:r>
      <w:r>
        <w:rPr>
          <w:rFonts w:hint="eastAsia" w:ascii="黑体" w:hAnsi="Times New Roman" w:eastAsia="黑体" w:cs="Times New Roman"/>
          <w:b/>
          <w:bCs/>
          <w:i w:val="0"/>
          <w:iCs w:val="0"/>
          <w:color w:val="auto"/>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或执行时效、贷款债权灭失或贷款债权项下担保权利过保证期间、诉讼或执行时效、担保无效或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bCs/>
          <w:i w:val="0"/>
          <w:iCs w:val="0"/>
          <w:color w:val="auto"/>
          <w:sz w:val="24"/>
          <w:szCs w:val="24"/>
        </w:rPr>
        <w:t>9.2.6</w:t>
      </w:r>
      <w:r>
        <w:rPr>
          <w:rFonts w:hint="eastAsia" w:ascii="黑体" w:hAnsi="Times New Roman" w:eastAsia="黑体" w:cs="Times New Roman"/>
          <w:b/>
          <w:bCs/>
          <w:i w:val="0"/>
          <w:iCs w:val="0"/>
          <w:color w:val="auto"/>
          <w:sz w:val="24"/>
          <w:szCs w:val="24"/>
        </w:rPr>
        <w:t xml:space="preserve"> 依法行使权利保证</w:t>
      </w:r>
      <w:r>
        <w:rPr>
          <w:rFonts w:hint="eastAsia" w:ascii="黑体" w:hAnsi="Times New Roman" w:eastAsia="黑体" w:cs="Times New Roman"/>
          <w:i w:val="0"/>
          <w:iCs w:val="0"/>
          <w:color w:val="auto"/>
          <w:sz w:val="24"/>
          <w:szCs w:val="24"/>
        </w:rPr>
        <w:t>：乙方保证在贷款债权交割后，严格按照相关法律、法规、政策的规定，主张和行使贷款债权项下的任何权利，因乙方违法行使权利导致甲方利益受损的，乙方将赔偿甲方的全部损失以及因此所支付的费用。</w:t>
      </w:r>
    </w:p>
    <w:bookmarkEnd w:id="2"/>
    <w:p>
      <w:pPr>
        <w:tabs>
          <w:tab w:val="left" w:pos="1260"/>
        </w:tabs>
        <w:snapToGrid w:val="0"/>
        <w:spacing w:line="360" w:lineRule="auto"/>
        <w:ind w:right="-87" w:firstLine="480" w:firstLineChars="200"/>
        <w:rPr>
          <w:rFonts w:ascii="仿宋_GB2312" w:hAnsi="Times New Roman" w:eastAsia="仿宋_GB2312" w:cs="Times New Roman"/>
          <w:i w:val="0"/>
          <w:iCs w:val="0"/>
          <w:color w:val="auto"/>
          <w:sz w:val="24"/>
          <w:szCs w:val="24"/>
        </w:rPr>
      </w:pPr>
      <w:bookmarkStart w:id="4" w:name="_Ref118455871"/>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第十条  违约责任</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10.1 </w:t>
      </w:r>
      <w:r>
        <w:rPr>
          <w:rFonts w:ascii="楷体_GB2312" w:hAnsi="Times New Roman" w:eastAsia="楷体_GB2312" w:cs="Times New Roman"/>
          <w:i w:val="0"/>
          <w:iCs w:val="0"/>
          <w:color w:val="auto"/>
          <w:sz w:val="24"/>
          <w:szCs w:val="24"/>
        </w:rPr>
        <w:t>本协议生效后，甲、乙</w:t>
      </w:r>
      <w:r>
        <w:rPr>
          <w:rFonts w:hint="eastAsia" w:ascii="楷体_GB2312" w:hAnsi="Times New Roman" w:eastAsia="楷体_GB2312" w:cs="Times New Roman"/>
          <w:i w:val="0"/>
          <w:iCs w:val="0"/>
          <w:color w:val="auto"/>
          <w:sz w:val="24"/>
          <w:szCs w:val="24"/>
        </w:rPr>
        <w:t>双</w:t>
      </w:r>
      <w:r>
        <w:rPr>
          <w:rFonts w:ascii="楷体_GB2312" w:hAnsi="Times New Roman" w:eastAsia="楷体_GB2312" w:cs="Times New Roman"/>
          <w:i w:val="0"/>
          <w:iCs w:val="0"/>
          <w:color w:val="auto"/>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楷体_GB2312" w:hAnsi="Times New Roman" w:eastAsia="楷体_GB2312" w:cs="Times New Roman"/>
          <w:i w:val="0"/>
          <w:iCs w:val="0"/>
          <w:color w:val="auto"/>
          <w:sz w:val="24"/>
          <w:szCs w:val="24"/>
        </w:rPr>
        <w:t>直接</w:t>
      </w:r>
      <w:r>
        <w:rPr>
          <w:rFonts w:ascii="楷体_GB2312" w:hAnsi="Times New Roman" w:eastAsia="楷体_GB2312" w:cs="Times New Roman"/>
          <w:i w:val="0"/>
          <w:iCs w:val="0"/>
          <w:color w:val="auto"/>
          <w:sz w:val="24"/>
          <w:szCs w:val="24"/>
        </w:rPr>
        <w:t>损失</w:t>
      </w:r>
      <w:r>
        <w:rPr>
          <w:rFonts w:hint="eastAsia" w:ascii="楷体_GB2312" w:hAnsi="Times New Roman" w:eastAsia="楷体_GB2312" w:cs="Times New Roman"/>
          <w:i w:val="0"/>
          <w:iCs w:val="0"/>
          <w:color w:val="auto"/>
          <w:sz w:val="24"/>
          <w:szCs w:val="24"/>
        </w:rPr>
        <w:t>和合理费用损失</w:t>
      </w:r>
      <w:r>
        <w:rPr>
          <w:rFonts w:ascii="楷体_GB2312" w:hAnsi="Times New Roman" w:eastAsia="楷体_GB2312" w:cs="Times New Roman"/>
          <w:i w:val="0"/>
          <w:iCs w:val="0"/>
          <w:color w:val="auto"/>
          <w:sz w:val="24"/>
          <w:szCs w:val="24"/>
        </w:rPr>
        <w:t>。</w:t>
      </w:r>
    </w:p>
    <w:p>
      <w:pPr>
        <w:spacing w:line="360" w:lineRule="auto"/>
        <w:ind w:firstLine="482" w:firstLineChars="200"/>
        <w:rPr>
          <w:rFonts w:ascii="黑体" w:hAnsi="Times New Roman" w:eastAsia="黑体" w:cs="Times New Roman"/>
          <w:b/>
          <w:i w:val="0"/>
          <w:iCs w:val="0"/>
          <w:color w:val="auto"/>
          <w:sz w:val="24"/>
          <w:szCs w:val="24"/>
        </w:rPr>
      </w:pPr>
      <w:r>
        <w:rPr>
          <w:rFonts w:hint="eastAsia" w:ascii="黑体" w:hAnsi="Times New Roman" w:eastAsia="黑体" w:cs="Times New Roman"/>
          <w:b/>
          <w:i w:val="0"/>
          <w:iCs w:val="0"/>
          <w:color w:val="auto"/>
          <w:sz w:val="24"/>
          <w:szCs w:val="24"/>
        </w:rPr>
        <w:t>10.2 甲方的违约责任</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pPr>
        <w:tabs>
          <w:tab w:val="left" w:pos="1260"/>
        </w:tabs>
        <w:snapToGrid w:val="0"/>
        <w:spacing w:line="360" w:lineRule="auto"/>
        <w:ind w:right="-87" w:firstLine="482" w:firstLineChars="200"/>
        <w:rPr>
          <w:rFonts w:ascii="黑体" w:hAnsi="Times New Roman" w:eastAsia="黑体" w:cs="Times New Roman"/>
          <w:b/>
          <w:i w:val="0"/>
          <w:iCs w:val="0"/>
          <w:color w:val="auto"/>
          <w:sz w:val="24"/>
          <w:szCs w:val="24"/>
        </w:rPr>
      </w:pPr>
      <w:r>
        <w:rPr>
          <w:rFonts w:hint="eastAsia" w:ascii="黑体" w:hAnsi="Times New Roman" w:eastAsia="黑体" w:cs="Times New Roman"/>
          <w:b/>
          <w:i w:val="0"/>
          <w:iCs w:val="0"/>
          <w:color w:val="auto"/>
          <w:sz w:val="24"/>
          <w:szCs w:val="24"/>
        </w:rPr>
        <w:t>10.3 乙方的违约责任</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10.3.1 乙方违反付款义务，未能按时足额支付相应款项的，甲方除扣收乙方缴纳履约保证金外，还有权选择：（a）解除协议，履约保证金不足以弥补甲方损失的，乙方仍应承担损失赔偿责任，如甲方委托中介机构将本协议项下的贷款债权再行转让的，乙方除应当支付第一次转让活动中甲、乙双方应当支付的佣金，还应当补足再行转让价款低于本协议约定转让价款的差额；（b）要求乙方继续履行协议，对于逾期款项，每逾期一日，乙方还应按应付未付款项的万分之</w:t>
      </w:r>
      <w:r>
        <w:rPr>
          <w:rFonts w:hint="eastAsia" w:ascii="黑体" w:hAnsi="Times New Roman" w:eastAsia="黑体" w:cs="Times New Roman"/>
          <w:i w:val="0"/>
          <w:iCs w:val="0"/>
          <w:color w:val="auto"/>
          <w:sz w:val="24"/>
          <w:szCs w:val="24"/>
          <w:u w:val="single"/>
        </w:rPr>
        <w:t>五</w:t>
      </w:r>
      <w:r>
        <w:rPr>
          <w:rFonts w:hint="eastAsia" w:ascii="黑体" w:hAnsi="Times New Roman" w:eastAsia="黑体" w:cs="Times New Roman"/>
          <w:i w:val="0"/>
          <w:iCs w:val="0"/>
          <w:color w:val="auto"/>
          <w:sz w:val="24"/>
          <w:szCs w:val="24"/>
        </w:rPr>
        <w:t>向甲方支付违约金。</w:t>
      </w:r>
    </w:p>
    <w:p>
      <w:pPr>
        <w:tabs>
          <w:tab w:val="left" w:pos="1260"/>
        </w:tabs>
        <w:snapToGrid w:val="0"/>
        <w:spacing w:line="360" w:lineRule="auto"/>
        <w:ind w:right="-87" w:firstLine="480" w:firstLineChars="200"/>
        <w:rPr>
          <w:rFonts w:ascii="黑体" w:hAnsi="Times New Roman" w:eastAsia="黑体" w:cs="Times New Roman"/>
          <w:i w:val="0"/>
          <w:iCs w:val="0"/>
          <w:color w:val="auto"/>
          <w:sz w:val="24"/>
          <w:szCs w:val="24"/>
        </w:rPr>
      </w:pPr>
      <w:r>
        <w:rPr>
          <w:rFonts w:hint="eastAsia" w:ascii="黑体" w:hAnsi="Times New Roman" w:eastAsia="黑体" w:cs="Times New Roman"/>
          <w:i w:val="0"/>
          <w:iCs w:val="0"/>
          <w:color w:val="auto"/>
          <w:sz w:val="24"/>
          <w:szCs w:val="24"/>
        </w:rPr>
        <w:t xml:space="preserve"> 10.3.2  乙方违反本协议约定的声明和保证或其它义务，甲方有权解除本协议，并扣收履约保证金，若履约保证金不足以弥补甲方损失的，乙方还应承担损失赔偿责任。</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第十一条    保密</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11.2 保密义务因以下情形而免除：</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11.2.1 保密信息非因保密义务人违约而公开；</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11.2.2 在诉讼、仲裁或者配合政府行政执法等活动中依法知悉或者披露的；</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11.2.3应主管、监管的部门要求披露或报告的。</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11.3 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p>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ascii="Times New Roman" w:hAnsi="Times New Roman" w:eastAsia="仿宋_GB2312" w:cs="Times New Roman"/>
          <w:b/>
          <w:i w:val="0"/>
          <w:iCs w:val="0"/>
          <w:color w:val="auto"/>
          <w:sz w:val="24"/>
          <w:szCs w:val="24"/>
        </w:rPr>
        <w:t>第十</w:t>
      </w:r>
      <w:r>
        <w:rPr>
          <w:rFonts w:hint="eastAsia" w:ascii="Times New Roman" w:hAnsi="Times New Roman" w:eastAsia="仿宋_GB2312" w:cs="Times New Roman"/>
          <w:b/>
          <w:i w:val="0"/>
          <w:iCs w:val="0"/>
          <w:color w:val="auto"/>
          <w:sz w:val="24"/>
          <w:szCs w:val="24"/>
        </w:rPr>
        <w:t>二</w:t>
      </w:r>
      <w:r>
        <w:rPr>
          <w:rFonts w:ascii="Times New Roman" w:hAnsi="Times New Roman" w:eastAsia="仿宋_GB2312" w:cs="Times New Roman"/>
          <w:b/>
          <w:i w:val="0"/>
          <w:iCs w:val="0"/>
          <w:color w:val="auto"/>
          <w:sz w:val="24"/>
          <w:szCs w:val="24"/>
        </w:rPr>
        <w:t>条 争议解决</w:t>
      </w:r>
      <w:r>
        <w:rPr>
          <w:rFonts w:hint="eastAsia" w:ascii="Times New Roman" w:hAnsi="Times New Roman" w:eastAsia="仿宋_GB2312" w:cs="Times New Roman"/>
          <w:b/>
          <w:i w:val="0"/>
          <w:iCs w:val="0"/>
          <w:color w:val="auto"/>
          <w:sz w:val="24"/>
          <w:szCs w:val="24"/>
        </w:rPr>
        <w:t>及</w:t>
      </w:r>
      <w:r>
        <w:rPr>
          <w:rFonts w:ascii="Times New Roman" w:hAnsi="Times New Roman" w:eastAsia="仿宋_GB2312" w:cs="Times New Roman"/>
          <w:b/>
          <w:i w:val="0"/>
          <w:iCs w:val="0"/>
          <w:color w:val="auto"/>
          <w:sz w:val="24"/>
          <w:szCs w:val="24"/>
        </w:rPr>
        <w:t>法律适用</w:t>
      </w:r>
    </w:p>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ascii="Times New Roman" w:hAnsi="Times New Roman" w:eastAsia="仿宋_GB2312" w:cs="Times New Roman"/>
          <w:b/>
          <w:i w:val="0"/>
          <w:iCs w:val="0"/>
          <w:color w:val="auto"/>
          <w:sz w:val="24"/>
          <w:szCs w:val="24"/>
        </w:rPr>
        <w:t>1</w:t>
      </w:r>
      <w:r>
        <w:rPr>
          <w:rFonts w:hint="eastAsia" w:ascii="Times New Roman" w:hAnsi="Times New Roman" w:eastAsia="仿宋_GB2312" w:cs="Times New Roman"/>
          <w:b/>
          <w:i w:val="0"/>
          <w:iCs w:val="0"/>
          <w:color w:val="auto"/>
          <w:sz w:val="24"/>
          <w:szCs w:val="24"/>
        </w:rPr>
        <w:t>2</w:t>
      </w:r>
      <w:r>
        <w:rPr>
          <w:rFonts w:ascii="Times New Roman" w:hAnsi="Times New Roman" w:eastAsia="仿宋_GB2312" w:cs="Times New Roman"/>
          <w:b/>
          <w:i w:val="0"/>
          <w:iCs w:val="0"/>
          <w:color w:val="auto"/>
          <w:sz w:val="24"/>
          <w:szCs w:val="24"/>
        </w:rPr>
        <w:t>.1 争议解决方式</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双方</w:t>
      </w:r>
      <w:r>
        <w:rPr>
          <w:rFonts w:ascii="楷体_GB2312" w:hAnsi="Times New Roman" w:eastAsia="楷体_GB2312" w:cs="Times New Roman"/>
          <w:i w:val="0"/>
          <w:iCs w:val="0"/>
          <w:color w:val="auto"/>
          <w:sz w:val="24"/>
          <w:szCs w:val="24"/>
        </w:rPr>
        <w:t>就本协议的解释和履行发生的任何争议，应通过友好协商解决。未能通过友好协商解决的争议，</w:t>
      </w:r>
      <w:r>
        <w:rPr>
          <w:rFonts w:hint="eastAsia" w:ascii="楷体_GB2312" w:hAnsi="Times New Roman" w:eastAsia="楷体_GB2312" w:cs="Times New Roman"/>
          <w:i w:val="0"/>
          <w:iCs w:val="0"/>
          <w:color w:val="auto"/>
          <w:sz w:val="24"/>
          <w:szCs w:val="24"/>
        </w:rPr>
        <w:t>双方</w:t>
      </w:r>
      <w:r>
        <w:rPr>
          <w:rFonts w:ascii="楷体_GB2312" w:hAnsi="Times New Roman" w:eastAsia="楷体_GB2312" w:cs="Times New Roman"/>
          <w:i w:val="0"/>
          <w:iCs w:val="0"/>
          <w:color w:val="auto"/>
          <w:sz w:val="24"/>
          <w:szCs w:val="24"/>
        </w:rPr>
        <w:t>选择向甲方所在地的人民法院提起诉讼。</w:t>
      </w:r>
    </w:p>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ascii="Times New Roman" w:hAnsi="Times New Roman" w:eastAsia="仿宋_GB2312" w:cs="Times New Roman"/>
          <w:b/>
          <w:i w:val="0"/>
          <w:iCs w:val="0"/>
          <w:color w:val="auto"/>
          <w:sz w:val="24"/>
          <w:szCs w:val="24"/>
        </w:rPr>
        <w:t>1</w:t>
      </w:r>
      <w:r>
        <w:rPr>
          <w:rFonts w:hint="eastAsia" w:ascii="Times New Roman" w:hAnsi="Times New Roman" w:eastAsia="仿宋_GB2312" w:cs="Times New Roman"/>
          <w:b/>
          <w:i w:val="0"/>
          <w:iCs w:val="0"/>
          <w:color w:val="auto"/>
          <w:sz w:val="24"/>
          <w:szCs w:val="24"/>
        </w:rPr>
        <w:t>2</w:t>
      </w:r>
      <w:r>
        <w:rPr>
          <w:rFonts w:ascii="Times New Roman" w:hAnsi="Times New Roman" w:eastAsia="仿宋_GB2312" w:cs="Times New Roman"/>
          <w:b/>
          <w:i w:val="0"/>
          <w:iCs w:val="0"/>
          <w:color w:val="auto"/>
          <w:sz w:val="24"/>
          <w:szCs w:val="24"/>
        </w:rPr>
        <w:t>.2法律适用</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本协议的</w:t>
      </w:r>
      <w:r>
        <w:rPr>
          <w:rFonts w:hint="eastAsia" w:ascii="楷体_GB2312" w:hAnsi="Times New Roman" w:eastAsia="楷体_GB2312" w:cs="Times New Roman"/>
          <w:i w:val="0"/>
          <w:iCs w:val="0"/>
          <w:color w:val="auto"/>
          <w:sz w:val="24"/>
          <w:szCs w:val="24"/>
        </w:rPr>
        <w:t>有效性</w:t>
      </w:r>
      <w:r>
        <w:rPr>
          <w:rFonts w:ascii="楷体_GB2312" w:hAnsi="Times New Roman" w:eastAsia="楷体_GB2312" w:cs="Times New Roman"/>
          <w:i w:val="0"/>
          <w:iCs w:val="0"/>
          <w:color w:val="auto"/>
          <w:sz w:val="24"/>
          <w:szCs w:val="24"/>
        </w:rPr>
        <w:t>、解释、履行和争议解决适用中华人民共和国</w:t>
      </w:r>
      <w:r>
        <w:rPr>
          <w:rFonts w:hint="eastAsia" w:ascii="楷体_GB2312" w:hAnsi="Times New Roman" w:eastAsia="楷体_GB2312" w:cs="Times New Roman"/>
          <w:i w:val="0"/>
          <w:iCs w:val="0"/>
          <w:color w:val="auto"/>
          <w:sz w:val="24"/>
          <w:szCs w:val="24"/>
        </w:rPr>
        <w:t>（香港、台湾、澳门除外）</w:t>
      </w:r>
      <w:r>
        <w:rPr>
          <w:rFonts w:ascii="楷体_GB2312" w:hAnsi="Times New Roman" w:eastAsia="楷体_GB2312" w:cs="Times New Roman"/>
          <w:i w:val="0"/>
          <w:iCs w:val="0"/>
          <w:color w:val="auto"/>
          <w:sz w:val="24"/>
          <w:szCs w:val="24"/>
        </w:rPr>
        <w:t>现行法律、行政法规之规定。</w:t>
      </w:r>
    </w:p>
    <w:p>
      <w:pPr>
        <w:spacing w:line="360" w:lineRule="auto"/>
        <w:ind w:firstLine="480" w:firstLineChars="200"/>
        <w:rPr>
          <w:rFonts w:ascii="仿宋_GB2312" w:hAnsi="Times New Roman" w:eastAsia="仿宋_GB2312" w:cs="Times New Roman"/>
          <w:i w:val="0"/>
          <w:iCs w:val="0"/>
          <w:color w:val="auto"/>
          <w:sz w:val="24"/>
          <w:szCs w:val="24"/>
        </w:rPr>
      </w:pP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第十三条  不可抗力</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13.1  本协议所指不可抗力系指：地震、风暴、水灾、战争、暴乱等任何一方无法预见、无法控制和无法避免的情况。</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hint="eastAsia" w:ascii="楷体_GB2312" w:hAnsi="Times New Roman" w:eastAsia="楷体_GB2312" w:cs="Times New Roman"/>
          <w:i w:val="0"/>
          <w:iCs w:val="0"/>
          <w:color w:val="auto"/>
          <w:sz w:val="24"/>
          <w:szCs w:val="24"/>
          <w:u w:val="single"/>
        </w:rPr>
        <w:t xml:space="preserve">    </w:t>
      </w:r>
      <w:r>
        <w:rPr>
          <w:rFonts w:hint="eastAsia" w:ascii="楷体_GB2312" w:hAnsi="Times New Roman" w:eastAsia="楷体_GB2312" w:cs="Times New Roman"/>
          <w:i w:val="0"/>
          <w:iCs w:val="0"/>
          <w:color w:val="auto"/>
          <w:sz w:val="24"/>
          <w:szCs w:val="24"/>
        </w:rPr>
        <w:t>日内书面通知对方，并向对方提供发生不可抗力和其持续期的适当证明，并应尽其最大努力终止不可抗力事件或减少其影响。</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13.3 不可抗力事件结束后，双方应立即磋商以寻求一个公平的解决方法，并应尽所有合理努力以减轻不可抗力的影响。</w:t>
      </w:r>
    </w:p>
    <w:p>
      <w:pPr>
        <w:spacing w:line="360" w:lineRule="auto"/>
        <w:rPr>
          <w:rFonts w:ascii="仿宋_GB2312" w:hAnsi="Times New Roman" w:eastAsia="仿宋_GB2312" w:cs="Times New Roman"/>
          <w:i w:val="0"/>
          <w:iCs w:val="0"/>
          <w:color w:val="auto"/>
          <w:sz w:val="24"/>
          <w:szCs w:val="24"/>
        </w:rPr>
      </w:pP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第十四条  通知和通讯</w:t>
      </w:r>
    </w:p>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ascii="Times New Roman" w:hAnsi="Times New Roman" w:eastAsia="仿宋_GB2312" w:cs="Times New Roman"/>
          <w:b/>
          <w:i w:val="0"/>
          <w:iCs w:val="0"/>
          <w:color w:val="auto"/>
          <w:sz w:val="24"/>
          <w:szCs w:val="24"/>
        </w:rPr>
        <w:t>1</w:t>
      </w:r>
      <w:r>
        <w:rPr>
          <w:rFonts w:hint="eastAsia" w:ascii="Times New Roman" w:hAnsi="Times New Roman" w:eastAsia="仿宋_GB2312" w:cs="Times New Roman"/>
          <w:b/>
          <w:i w:val="0"/>
          <w:iCs w:val="0"/>
          <w:color w:val="auto"/>
          <w:sz w:val="24"/>
          <w:szCs w:val="24"/>
        </w:rPr>
        <w:t>4</w:t>
      </w:r>
      <w:r>
        <w:rPr>
          <w:rFonts w:ascii="Times New Roman" w:hAnsi="Times New Roman" w:eastAsia="仿宋_GB2312" w:cs="Times New Roman"/>
          <w:b/>
          <w:i w:val="0"/>
          <w:iCs w:val="0"/>
          <w:color w:val="auto"/>
          <w:sz w:val="24"/>
          <w:szCs w:val="24"/>
        </w:rPr>
        <w:t xml:space="preserve">.1 </w:t>
      </w:r>
      <w:r>
        <w:rPr>
          <w:rFonts w:hint="eastAsia" w:ascii="Times New Roman" w:hAnsi="Times New Roman" w:eastAsia="仿宋_GB2312" w:cs="Times New Roman"/>
          <w:b/>
          <w:i w:val="0"/>
          <w:iCs w:val="0"/>
          <w:color w:val="auto"/>
          <w:sz w:val="24"/>
          <w:szCs w:val="24"/>
        </w:rPr>
        <w:t>本协议项下双方的任何通知均应以书面形式作出，以专人送达、挂号信件或传真方式递送。</w:t>
      </w:r>
    </w:p>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hint="eastAsia" w:ascii="Times New Roman" w:hAnsi="Times New Roman" w:eastAsia="仿宋_GB2312" w:cs="Times New Roman"/>
          <w:b/>
          <w:i w:val="0"/>
          <w:iCs w:val="0"/>
          <w:color w:val="auto"/>
          <w:sz w:val="24"/>
          <w:szCs w:val="24"/>
        </w:rPr>
        <w:t>14.2</w:t>
      </w:r>
      <w:r>
        <w:rPr>
          <w:rFonts w:ascii="Times New Roman" w:hAnsi="Times New Roman" w:eastAsia="仿宋_GB2312" w:cs="Times New Roman"/>
          <w:b/>
          <w:i w:val="0"/>
          <w:iCs w:val="0"/>
          <w:color w:val="auto"/>
          <w:sz w:val="24"/>
          <w:szCs w:val="24"/>
        </w:rPr>
        <w:t>甲方的联络方法</w:t>
      </w:r>
    </w:p>
    <w:p>
      <w:pPr>
        <w:spacing w:line="500" w:lineRule="exact"/>
        <w:ind w:firstLine="480" w:firstLineChars="200"/>
        <w:rPr>
          <w:rFonts w:ascii="楷体_GB2312" w:eastAsia="楷体_GB2312"/>
          <w:i w:val="0"/>
          <w:iCs w:val="0"/>
          <w:color w:val="auto"/>
          <w:sz w:val="24"/>
        </w:rPr>
      </w:pPr>
      <w:r>
        <w:rPr>
          <w:rFonts w:hint="eastAsia" w:ascii="楷体_GB2312" w:eastAsia="楷体_GB2312"/>
          <w:i w:val="0"/>
          <w:iCs w:val="0"/>
          <w:color w:val="auto"/>
          <w:sz w:val="24"/>
        </w:rPr>
        <w:t>地    址：济南市经七路168号银河大厦2802室</w:t>
      </w:r>
    </w:p>
    <w:p>
      <w:pPr>
        <w:spacing w:line="500" w:lineRule="exact"/>
        <w:ind w:firstLine="480" w:firstLineChars="200"/>
        <w:rPr>
          <w:rFonts w:ascii="楷体_GB2312" w:eastAsia="楷体_GB2312"/>
          <w:i w:val="0"/>
          <w:iCs w:val="0"/>
          <w:color w:val="auto"/>
          <w:sz w:val="24"/>
        </w:rPr>
      </w:pPr>
      <w:r>
        <w:rPr>
          <w:rFonts w:hint="eastAsia" w:ascii="楷体_GB2312" w:eastAsia="楷体_GB2312"/>
          <w:i w:val="0"/>
          <w:iCs w:val="0"/>
          <w:color w:val="auto"/>
          <w:sz w:val="24"/>
        </w:rPr>
        <w:t>邮    编：250001                        电    话：</w:t>
      </w:r>
      <w:r>
        <w:rPr>
          <w:rFonts w:hint="eastAsia" w:ascii="楷体" w:hAnsi="楷体" w:eastAsia="楷体"/>
          <w:i w:val="0"/>
          <w:iCs w:val="0"/>
          <w:color w:val="auto"/>
          <w:sz w:val="24"/>
        </w:rPr>
        <w:t>0531-82079610</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eastAsia="楷体_GB2312"/>
          <w:i w:val="0"/>
          <w:iCs w:val="0"/>
          <w:color w:val="auto"/>
          <w:sz w:val="24"/>
        </w:rPr>
        <w:t xml:space="preserve">传    真：0531-82079799                 联 系 人：张彦东 </w:t>
      </w:r>
      <w:r>
        <w:rPr>
          <w:rFonts w:ascii="楷体_GB2312" w:hAnsi="Times New Roman" w:eastAsia="楷体_GB2312" w:cs="Times New Roman"/>
          <w:i w:val="0"/>
          <w:iCs w:val="0"/>
          <w:color w:val="auto"/>
          <w:sz w:val="24"/>
          <w:szCs w:val="24"/>
        </w:rPr>
        <w:t xml:space="preserve"> </w:t>
      </w:r>
    </w:p>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ascii="Times New Roman" w:hAnsi="Times New Roman" w:eastAsia="仿宋_GB2312" w:cs="Times New Roman"/>
          <w:b/>
          <w:i w:val="0"/>
          <w:iCs w:val="0"/>
          <w:color w:val="auto"/>
          <w:sz w:val="24"/>
          <w:szCs w:val="24"/>
        </w:rPr>
        <w:t>1</w:t>
      </w:r>
      <w:r>
        <w:rPr>
          <w:rFonts w:hint="eastAsia" w:ascii="Times New Roman" w:hAnsi="Times New Roman" w:eastAsia="仿宋_GB2312" w:cs="Times New Roman"/>
          <w:b/>
          <w:i w:val="0"/>
          <w:iCs w:val="0"/>
          <w:color w:val="auto"/>
          <w:sz w:val="24"/>
          <w:szCs w:val="24"/>
        </w:rPr>
        <w:t>4</w:t>
      </w:r>
      <w:r>
        <w:rPr>
          <w:rFonts w:ascii="Times New Roman" w:hAnsi="Times New Roman" w:eastAsia="仿宋_GB2312" w:cs="Times New Roman"/>
          <w:b/>
          <w:i w:val="0"/>
          <w:iCs w:val="0"/>
          <w:color w:val="auto"/>
          <w:sz w:val="24"/>
          <w:szCs w:val="24"/>
        </w:rPr>
        <w:t>.</w:t>
      </w:r>
      <w:r>
        <w:rPr>
          <w:rFonts w:hint="eastAsia" w:ascii="Times New Roman" w:hAnsi="Times New Roman" w:eastAsia="仿宋_GB2312" w:cs="Times New Roman"/>
          <w:b/>
          <w:i w:val="0"/>
          <w:iCs w:val="0"/>
          <w:color w:val="auto"/>
          <w:sz w:val="24"/>
          <w:szCs w:val="24"/>
        </w:rPr>
        <w:t>3</w:t>
      </w:r>
      <w:r>
        <w:rPr>
          <w:rFonts w:ascii="Times New Roman" w:hAnsi="Times New Roman" w:eastAsia="仿宋_GB2312" w:cs="Times New Roman"/>
          <w:b/>
          <w:i w:val="0"/>
          <w:iCs w:val="0"/>
          <w:color w:val="auto"/>
          <w:sz w:val="24"/>
          <w:szCs w:val="24"/>
        </w:rPr>
        <w:t xml:space="preserve"> 乙方的联络方法</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地    址：</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邮    编：</w:t>
      </w:r>
      <w:r>
        <w:rPr>
          <w:rFonts w:hint="eastAsia" w:ascii="楷体_GB2312" w:hAnsi="Times New Roman" w:eastAsia="楷体_GB2312" w:cs="Times New Roman"/>
          <w:i w:val="0"/>
          <w:iCs w:val="0"/>
          <w:color w:val="auto"/>
          <w:sz w:val="24"/>
          <w:szCs w:val="24"/>
        </w:rPr>
        <w:t xml:space="preserve">                               </w:t>
      </w:r>
      <w:r>
        <w:rPr>
          <w:rFonts w:ascii="楷体_GB2312" w:hAnsi="Times New Roman" w:eastAsia="楷体_GB2312" w:cs="Times New Roman"/>
          <w:i w:val="0"/>
          <w:iCs w:val="0"/>
          <w:color w:val="auto"/>
          <w:sz w:val="24"/>
          <w:szCs w:val="24"/>
        </w:rPr>
        <w:t>电    话：</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传    真：</w:t>
      </w:r>
      <w:r>
        <w:rPr>
          <w:rFonts w:hint="eastAsia" w:ascii="楷体_GB2312" w:hAnsi="Times New Roman" w:eastAsia="楷体_GB2312" w:cs="Times New Roman"/>
          <w:i w:val="0"/>
          <w:iCs w:val="0"/>
          <w:color w:val="auto"/>
          <w:sz w:val="24"/>
          <w:szCs w:val="24"/>
        </w:rPr>
        <w:t xml:space="preserve">                               </w:t>
      </w:r>
      <w:r>
        <w:rPr>
          <w:rFonts w:ascii="楷体_GB2312" w:hAnsi="Times New Roman" w:eastAsia="楷体_GB2312" w:cs="Times New Roman"/>
          <w:i w:val="0"/>
          <w:iCs w:val="0"/>
          <w:color w:val="auto"/>
          <w:sz w:val="24"/>
          <w:szCs w:val="24"/>
        </w:rPr>
        <w:t xml:space="preserve">联 系 人： </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.4  任何一方就本协议相关事宜以挂号信、传真、特快专递方式发送通知的，通知在下列日期视为送达</w:t>
      </w:r>
      <w:r>
        <w:rPr>
          <w:rFonts w:hint="eastAsia" w:ascii="楷体_GB2312" w:hAnsi="Times New Roman" w:eastAsia="楷体_GB2312" w:cs="Times New Roman"/>
          <w:i w:val="0"/>
          <w:iCs w:val="0"/>
          <w:color w:val="auto"/>
          <w:sz w:val="24"/>
          <w:szCs w:val="24"/>
        </w:rPr>
        <w:t>被通知方</w:t>
      </w:r>
      <w:r>
        <w:rPr>
          <w:rFonts w:ascii="楷体_GB2312" w:hAnsi="Times New Roman" w:eastAsia="楷体_GB2312" w:cs="Times New Roman"/>
          <w:i w:val="0"/>
          <w:iCs w:val="0"/>
          <w:color w:val="auto"/>
          <w:sz w:val="24"/>
          <w:szCs w:val="24"/>
        </w:rPr>
        <w:t>：</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 xml:space="preserve">.1 </w:t>
      </w:r>
      <w:r>
        <w:rPr>
          <w:rFonts w:hint="eastAsia" w:ascii="楷体_GB2312" w:hAnsi="Times New Roman" w:eastAsia="楷体_GB2312" w:cs="Times New Roman"/>
          <w:i w:val="0"/>
          <w:iCs w:val="0"/>
          <w:color w:val="auto"/>
          <w:sz w:val="24"/>
          <w:szCs w:val="24"/>
        </w:rPr>
        <w:t>由专人送达，通知方取得的被通知方签收单所标示的日期；</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 xml:space="preserve">14.4.2 </w:t>
      </w:r>
      <w:r>
        <w:rPr>
          <w:rFonts w:ascii="楷体_GB2312" w:hAnsi="Times New Roman" w:eastAsia="楷体_GB2312" w:cs="Times New Roman"/>
          <w:i w:val="0"/>
          <w:iCs w:val="0"/>
          <w:color w:val="auto"/>
          <w:sz w:val="24"/>
          <w:szCs w:val="24"/>
        </w:rPr>
        <w:t>由挂号信邮递，发出通知一方持有的挂号信回执所示日；</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3</w:t>
      </w:r>
      <w:r>
        <w:rPr>
          <w:rFonts w:ascii="楷体_GB2312" w:hAnsi="Times New Roman" w:eastAsia="楷体_GB2312" w:cs="Times New Roman"/>
          <w:i w:val="0"/>
          <w:iCs w:val="0"/>
          <w:color w:val="auto"/>
          <w:sz w:val="24"/>
          <w:szCs w:val="24"/>
        </w:rPr>
        <w:t xml:space="preserve"> 由传真传送，收到回复码或成功发送确认条</w:t>
      </w:r>
      <w:r>
        <w:rPr>
          <w:rFonts w:hint="eastAsia" w:ascii="楷体_GB2312" w:hAnsi="Times New Roman" w:eastAsia="楷体_GB2312" w:cs="Times New Roman"/>
          <w:i w:val="0"/>
          <w:iCs w:val="0"/>
          <w:color w:val="auto"/>
          <w:sz w:val="24"/>
          <w:szCs w:val="24"/>
        </w:rPr>
        <w:t>后的当</w:t>
      </w:r>
      <w:r>
        <w:rPr>
          <w:rFonts w:ascii="楷体_GB2312" w:hAnsi="Times New Roman" w:eastAsia="楷体_GB2312" w:cs="Times New Roman"/>
          <w:i w:val="0"/>
          <w:iCs w:val="0"/>
          <w:color w:val="auto"/>
          <w:sz w:val="24"/>
          <w:szCs w:val="24"/>
        </w:rPr>
        <w:t>日；</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 xml:space="preserve"> 由特快专递发送，以收件人签收日为送达日，非因不可抗力事由收件人未签收的，以寄出日后第四个工作日为送达日</w:t>
      </w:r>
      <w:r>
        <w:rPr>
          <w:rFonts w:hint="eastAsia" w:ascii="楷体_GB2312" w:hAnsi="Times New Roman" w:eastAsia="楷体_GB2312" w:cs="Times New Roman"/>
          <w:i w:val="0"/>
          <w:iCs w:val="0"/>
          <w:color w:val="auto"/>
          <w:sz w:val="24"/>
          <w:szCs w:val="24"/>
        </w:rPr>
        <w:t>；</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4</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任何一方的联络方法发生变更的，应在变更之日起</w:t>
      </w:r>
      <w:r>
        <w:rPr>
          <w:rFonts w:hint="eastAsia" w:ascii="楷体_GB2312" w:hAnsi="Times New Roman" w:eastAsia="楷体_GB2312" w:cs="Times New Roman"/>
          <w:i w:val="0"/>
          <w:iCs w:val="0"/>
          <w:color w:val="auto"/>
          <w:sz w:val="24"/>
          <w:szCs w:val="24"/>
          <w:lang w:val="en-US" w:eastAsia="zh-CN"/>
        </w:rPr>
        <w:t>10</w:t>
      </w:r>
      <w:r>
        <w:rPr>
          <w:rFonts w:ascii="楷体_GB2312" w:hAnsi="Times New Roman" w:eastAsia="楷体_GB2312" w:cs="Times New Roman"/>
          <w:i w:val="0"/>
          <w:iCs w:val="0"/>
          <w:color w:val="auto"/>
          <w:sz w:val="24"/>
          <w:szCs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仿宋_GB2312" w:hAnsi="Times New Roman" w:eastAsia="仿宋_GB2312" w:cs="Times New Roman"/>
          <w:b/>
          <w:i w:val="0"/>
          <w:iCs w:val="0"/>
          <w:color w:val="auto"/>
          <w:sz w:val="24"/>
          <w:szCs w:val="24"/>
        </w:rPr>
      </w:pPr>
    </w:p>
    <w:bookmarkEnd w:id="4"/>
    <w:p>
      <w:pPr>
        <w:tabs>
          <w:tab w:val="left" w:pos="1260"/>
        </w:tabs>
        <w:snapToGrid w:val="0"/>
        <w:spacing w:line="360" w:lineRule="auto"/>
        <w:ind w:right="-87" w:firstLine="482" w:firstLineChars="200"/>
        <w:rPr>
          <w:rFonts w:ascii="Times New Roman" w:hAnsi="Times New Roman" w:eastAsia="仿宋_GB2312" w:cs="Times New Roman"/>
          <w:b/>
          <w:i w:val="0"/>
          <w:iCs w:val="0"/>
          <w:color w:val="auto"/>
          <w:sz w:val="24"/>
          <w:szCs w:val="24"/>
        </w:rPr>
      </w:pPr>
      <w:r>
        <w:rPr>
          <w:rFonts w:ascii="Times New Roman" w:hAnsi="Times New Roman" w:eastAsia="仿宋_GB2312" w:cs="Times New Roman"/>
          <w:b/>
          <w:i w:val="0"/>
          <w:iCs w:val="0"/>
          <w:color w:val="auto"/>
          <w:sz w:val="24"/>
          <w:szCs w:val="24"/>
        </w:rPr>
        <w:t>第十</w:t>
      </w:r>
      <w:r>
        <w:rPr>
          <w:rFonts w:hint="eastAsia" w:ascii="Times New Roman" w:hAnsi="Times New Roman" w:eastAsia="仿宋_GB2312" w:cs="Times New Roman"/>
          <w:b/>
          <w:i w:val="0"/>
          <w:iCs w:val="0"/>
          <w:color w:val="auto"/>
          <w:sz w:val="24"/>
          <w:szCs w:val="24"/>
        </w:rPr>
        <w:t>五</w:t>
      </w:r>
      <w:r>
        <w:rPr>
          <w:rFonts w:ascii="Times New Roman" w:hAnsi="Times New Roman" w:eastAsia="仿宋_GB2312" w:cs="Times New Roman"/>
          <w:b/>
          <w:i w:val="0"/>
          <w:iCs w:val="0"/>
          <w:color w:val="auto"/>
          <w:sz w:val="24"/>
          <w:szCs w:val="24"/>
        </w:rPr>
        <w:t>条  附则</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.1  本协议签署前形成的任何文件如与本协议相冲突，以本协议为准。</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.2  附件为本协议不可分割的组成部分，与本协议具有同等效力。</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 xml:space="preserve">.3  </w:t>
      </w:r>
      <w:r>
        <w:rPr>
          <w:rFonts w:hint="eastAsia" w:ascii="楷体_GB2312" w:hAnsi="Times New Roman" w:eastAsia="楷体_GB2312" w:cs="Times New Roman"/>
          <w:i w:val="0"/>
          <w:iCs w:val="0"/>
          <w:color w:val="auto"/>
          <w:sz w:val="24"/>
          <w:szCs w:val="24"/>
        </w:rPr>
        <w:t>在如下全部条件满足之日，本协议生效：</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15.3.1</w:t>
      </w:r>
      <w:r>
        <w:rPr>
          <w:rFonts w:ascii="楷体_GB2312" w:hAnsi="Times New Roman" w:eastAsia="楷体_GB2312" w:cs="Times New Roman"/>
          <w:i w:val="0"/>
          <w:iCs w:val="0"/>
          <w:color w:val="auto"/>
          <w:sz w:val="24"/>
          <w:szCs w:val="24"/>
        </w:rPr>
        <w:t>本协议自</w:t>
      </w:r>
      <w:r>
        <w:rPr>
          <w:rFonts w:hint="eastAsia" w:ascii="楷体_GB2312" w:hAnsi="Times New Roman" w:eastAsia="楷体_GB2312" w:cs="Times New Roman"/>
          <w:i w:val="0"/>
          <w:iCs w:val="0"/>
          <w:color w:val="auto"/>
          <w:sz w:val="24"/>
          <w:szCs w:val="24"/>
        </w:rPr>
        <w:t>双方</w:t>
      </w:r>
      <w:r>
        <w:rPr>
          <w:rFonts w:ascii="楷体_GB2312" w:hAnsi="Times New Roman" w:eastAsia="楷体_GB2312" w:cs="Times New Roman"/>
          <w:i w:val="0"/>
          <w:iCs w:val="0"/>
          <w:color w:val="auto"/>
          <w:sz w:val="24"/>
          <w:szCs w:val="24"/>
        </w:rPr>
        <w:t>法定代表人或负责人或授权代表签字</w:t>
      </w:r>
      <w:r>
        <w:rPr>
          <w:rFonts w:hint="eastAsia" w:ascii="楷体_GB2312" w:hAnsi="Times New Roman" w:eastAsia="楷体_GB2312" w:cs="Times New Roman"/>
          <w:i w:val="0"/>
          <w:iCs w:val="0"/>
          <w:color w:val="auto"/>
          <w:sz w:val="24"/>
          <w:szCs w:val="24"/>
        </w:rPr>
        <w:t>（或盖人名章）并</w:t>
      </w:r>
      <w:r>
        <w:rPr>
          <w:rFonts w:ascii="楷体_GB2312" w:hAnsi="Times New Roman" w:eastAsia="楷体_GB2312" w:cs="Times New Roman"/>
          <w:i w:val="0"/>
          <w:iCs w:val="0"/>
          <w:color w:val="auto"/>
          <w:sz w:val="24"/>
          <w:szCs w:val="24"/>
        </w:rPr>
        <w:t>盖</w:t>
      </w:r>
      <w:r>
        <w:rPr>
          <w:rFonts w:hint="eastAsia" w:ascii="楷体_GB2312" w:hAnsi="Times New Roman" w:eastAsia="楷体_GB2312" w:cs="Times New Roman"/>
          <w:i w:val="0"/>
          <w:iCs w:val="0"/>
          <w:color w:val="auto"/>
          <w:sz w:val="24"/>
          <w:szCs w:val="24"/>
        </w:rPr>
        <w:t>公</w:t>
      </w:r>
      <w:r>
        <w:rPr>
          <w:rFonts w:ascii="楷体_GB2312" w:hAnsi="Times New Roman" w:eastAsia="楷体_GB2312" w:cs="Times New Roman"/>
          <w:i w:val="0"/>
          <w:iCs w:val="0"/>
          <w:color w:val="auto"/>
          <w:sz w:val="24"/>
          <w:szCs w:val="24"/>
        </w:rPr>
        <w:t>章</w:t>
      </w:r>
      <w:r>
        <w:rPr>
          <w:rFonts w:hint="eastAsia" w:ascii="楷体_GB2312" w:hAnsi="Times New Roman" w:eastAsia="楷体_GB2312" w:cs="Times New Roman"/>
          <w:i w:val="0"/>
          <w:iCs w:val="0"/>
          <w:color w:val="auto"/>
          <w:sz w:val="24"/>
          <w:szCs w:val="24"/>
        </w:rPr>
        <w:t>；</w:t>
      </w:r>
    </w:p>
    <w:p>
      <w:pPr>
        <w:spacing w:line="500" w:lineRule="exact"/>
        <w:ind w:firstLine="480" w:firstLineChars="200"/>
        <w:rPr>
          <w:rFonts w:ascii="楷体_GB2312" w:hAnsi="Times New Roman" w:eastAsia="楷体_GB2312" w:cs="Times New Roman"/>
          <w:i w:val="0"/>
          <w:iCs w:val="0"/>
          <w:color w:val="auto"/>
          <w:sz w:val="24"/>
          <w:szCs w:val="24"/>
        </w:rPr>
      </w:pPr>
      <w:r>
        <w:rPr>
          <w:rFonts w:hint="eastAsia" w:ascii="楷体_GB2312" w:hAnsi="Times New Roman" w:eastAsia="楷体_GB2312" w:cs="Times New Roman"/>
          <w:i w:val="0"/>
          <w:iCs w:val="0"/>
          <w:color w:val="auto"/>
          <w:sz w:val="24"/>
          <w:szCs w:val="24"/>
        </w:rPr>
        <w:t>15.3.2 乙方按照本协议第6.2款约定支付了足额履约保证金。</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 xml:space="preserve">.4  </w:t>
      </w:r>
      <w:r>
        <w:rPr>
          <w:rFonts w:hint="eastAsia" w:ascii="楷体_GB2312" w:hAnsi="Times New Roman" w:eastAsia="楷体_GB2312" w:cs="Times New Roman"/>
          <w:i w:val="0"/>
          <w:iCs w:val="0"/>
          <w:color w:val="auto"/>
          <w:sz w:val="24"/>
          <w:szCs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hAnsi="Times New Roman" w:eastAsia="楷体_GB2312" w:cs="Times New Roman"/>
          <w:i w:val="0"/>
          <w:iCs w:val="0"/>
          <w:color w:val="auto"/>
          <w:sz w:val="24"/>
          <w:szCs w:val="24"/>
        </w:rPr>
      </w:pPr>
      <w:r>
        <w:rPr>
          <w:rFonts w:ascii="楷体_GB2312" w:hAnsi="Times New Roman" w:eastAsia="楷体_GB2312" w:cs="Times New Roman"/>
          <w:i w:val="0"/>
          <w:iCs w:val="0"/>
          <w:color w:val="auto"/>
          <w:sz w:val="24"/>
          <w:szCs w:val="24"/>
        </w:rPr>
        <w:t>1</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w:t>
      </w:r>
      <w:r>
        <w:rPr>
          <w:rFonts w:hint="eastAsia" w:ascii="楷体_GB2312" w:hAnsi="Times New Roman" w:eastAsia="楷体_GB2312" w:cs="Times New Roman"/>
          <w:i w:val="0"/>
          <w:iCs w:val="0"/>
          <w:color w:val="auto"/>
          <w:sz w:val="24"/>
          <w:szCs w:val="24"/>
        </w:rPr>
        <w:t>5</w:t>
      </w:r>
      <w:r>
        <w:rPr>
          <w:rFonts w:ascii="楷体_GB2312" w:hAnsi="Times New Roman" w:eastAsia="楷体_GB2312" w:cs="Times New Roman"/>
          <w:i w:val="0"/>
          <w:iCs w:val="0"/>
          <w:color w:val="auto"/>
          <w:sz w:val="24"/>
          <w:szCs w:val="24"/>
        </w:rPr>
        <w:t xml:space="preserve">  本协议采用中文订立，一式</w:t>
      </w:r>
      <w:r>
        <w:rPr>
          <w:rFonts w:hint="eastAsia" w:ascii="楷体_GB2312" w:hAnsi="Times New Roman" w:eastAsia="楷体_GB2312" w:cs="Times New Roman"/>
          <w:i w:val="0"/>
          <w:iCs w:val="0"/>
          <w:color w:val="auto"/>
          <w:sz w:val="24"/>
          <w:szCs w:val="24"/>
          <w:lang w:val="en-US" w:eastAsia="zh-CN"/>
        </w:rPr>
        <w:t>肆</w:t>
      </w:r>
      <w:r>
        <w:rPr>
          <w:rFonts w:ascii="楷体_GB2312" w:hAnsi="Times New Roman" w:eastAsia="楷体_GB2312" w:cs="Times New Roman"/>
          <w:i w:val="0"/>
          <w:iCs w:val="0"/>
          <w:color w:val="auto"/>
          <w:sz w:val="24"/>
          <w:szCs w:val="24"/>
        </w:rPr>
        <w:t>份，具同等法律效力</w:t>
      </w:r>
      <w:r>
        <w:rPr>
          <w:rFonts w:hint="eastAsia" w:ascii="楷体_GB2312" w:hAnsi="Times New Roman" w:eastAsia="楷体_GB2312" w:cs="Times New Roman"/>
          <w:i w:val="0"/>
          <w:iCs w:val="0"/>
          <w:color w:val="auto"/>
          <w:sz w:val="24"/>
          <w:szCs w:val="24"/>
        </w:rPr>
        <w:t>，</w:t>
      </w:r>
      <w:r>
        <w:rPr>
          <w:rFonts w:ascii="楷体_GB2312" w:hAnsi="Times New Roman" w:eastAsia="楷体_GB2312" w:cs="Times New Roman"/>
          <w:i w:val="0"/>
          <w:iCs w:val="0"/>
          <w:color w:val="auto"/>
          <w:sz w:val="24"/>
          <w:szCs w:val="24"/>
        </w:rPr>
        <w:t>甲方持</w:t>
      </w:r>
      <w:r>
        <w:rPr>
          <w:rFonts w:hint="eastAsia" w:ascii="楷体_GB2312" w:hAnsi="Times New Roman" w:eastAsia="楷体_GB2312" w:cs="Times New Roman"/>
          <w:i w:val="0"/>
          <w:iCs w:val="0"/>
          <w:color w:val="auto"/>
          <w:sz w:val="24"/>
          <w:szCs w:val="24"/>
          <w:lang w:val="en-US" w:eastAsia="zh-CN"/>
        </w:rPr>
        <w:t>贰</w:t>
      </w:r>
      <w:r>
        <w:rPr>
          <w:rFonts w:ascii="楷体_GB2312" w:hAnsi="Times New Roman" w:eastAsia="楷体_GB2312" w:cs="Times New Roman"/>
          <w:i w:val="0"/>
          <w:iCs w:val="0"/>
          <w:color w:val="auto"/>
          <w:sz w:val="24"/>
          <w:szCs w:val="24"/>
        </w:rPr>
        <w:t>份，乙方持</w:t>
      </w:r>
      <w:r>
        <w:rPr>
          <w:rFonts w:hint="eastAsia" w:ascii="楷体_GB2312" w:hAnsi="Times New Roman" w:eastAsia="楷体_GB2312" w:cs="Times New Roman"/>
          <w:i w:val="0"/>
          <w:iCs w:val="0"/>
          <w:color w:val="auto"/>
          <w:sz w:val="24"/>
          <w:szCs w:val="24"/>
          <w:lang w:val="en-US" w:eastAsia="zh-CN"/>
        </w:rPr>
        <w:t>贰</w:t>
      </w:r>
      <w:r>
        <w:rPr>
          <w:rFonts w:ascii="楷体_GB2312" w:hAnsi="Times New Roman" w:eastAsia="楷体_GB2312" w:cs="Times New Roman"/>
          <w:i w:val="0"/>
          <w:iCs w:val="0"/>
          <w:color w:val="auto"/>
          <w:sz w:val="24"/>
          <w:szCs w:val="24"/>
        </w:rPr>
        <w:t>份。</w:t>
      </w:r>
    </w:p>
    <w:p>
      <w:pPr>
        <w:spacing w:line="360" w:lineRule="auto"/>
        <w:ind w:firstLine="480" w:firstLineChars="200"/>
        <w:rPr>
          <w:rFonts w:ascii="仿宋_GB2312" w:hAnsi="Times New Roman" w:eastAsia="仿宋_GB2312" w:cs="Times New Roman"/>
          <w:i w:val="0"/>
          <w:iCs w:val="0"/>
          <w:color w:val="auto"/>
          <w:sz w:val="24"/>
          <w:szCs w:val="24"/>
        </w:rPr>
      </w:pP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第十六条  双方另行约定的条款</w:t>
      </w:r>
    </w:p>
    <w:p>
      <w:pPr>
        <w:spacing w:line="360" w:lineRule="auto"/>
        <w:ind w:firstLine="480" w:firstLineChars="200"/>
        <w:rPr>
          <w:rFonts w:ascii="仿宋_GB2312" w:hAnsi="Times New Roman" w:eastAsia="仿宋_GB2312" w:cs="Times New Roman"/>
          <w:b/>
          <w:i w:val="0"/>
          <w:iCs w:val="0"/>
          <w:color w:val="auto"/>
          <w:sz w:val="24"/>
          <w:szCs w:val="24"/>
        </w:rPr>
      </w:pPr>
      <w:r>
        <w:rPr>
          <w:rFonts w:hint="eastAsia" w:ascii="楷体_GB2312" w:eastAsia="楷体_GB2312"/>
          <w:sz w:val="24"/>
          <w:szCs w:val="24"/>
        </w:rPr>
        <w:t>就乙方向甲方支付的本协议项下的转让价款，甲方仅向乙方出具甲方制式的处置资产收回款项凭证。对此乙方予以认可。</w:t>
      </w: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甲方（盖章）：中国长城资产管理股份有限公司 山东省分公司</w:t>
      </w: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负 责 人 或</w:t>
      </w: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授权代表签字（盖人名章）：</w:t>
      </w: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开户银行：</w:t>
      </w: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账    号：</w:t>
      </w:r>
    </w:p>
    <w:p>
      <w:pPr>
        <w:tabs>
          <w:tab w:val="left" w:pos="180"/>
        </w:tabs>
        <w:spacing w:line="360" w:lineRule="auto"/>
        <w:ind w:firstLine="480" w:firstLineChars="200"/>
        <w:rPr>
          <w:rFonts w:ascii="仿宋_GB2312" w:hAnsi="Times New Roman" w:eastAsia="仿宋_GB2312" w:cs="Times New Roman"/>
          <w:i w:val="0"/>
          <w:iCs w:val="0"/>
          <w:color w:val="auto"/>
          <w:sz w:val="24"/>
          <w:szCs w:val="24"/>
        </w:rPr>
      </w:pP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乙方（盖章）：</w:t>
      </w: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法定代表人或</w:t>
      </w:r>
    </w:p>
    <w:p>
      <w:pPr>
        <w:tabs>
          <w:tab w:val="left" w:pos="180"/>
        </w:tabs>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授权代表签字（盖人名章）：</w:t>
      </w:r>
    </w:p>
    <w:p>
      <w:pPr>
        <w:spacing w:line="360" w:lineRule="auto"/>
        <w:ind w:firstLine="482" w:firstLineChars="200"/>
        <w:rPr>
          <w:rFonts w:ascii="仿宋_GB2312" w:hAnsi="Times New Roman" w:eastAsia="仿宋_GB2312" w:cs="Times New Roman"/>
          <w:b/>
          <w:i w:val="0"/>
          <w:iCs w:val="0"/>
          <w:color w:val="auto"/>
          <w:sz w:val="24"/>
          <w:szCs w:val="24"/>
        </w:rPr>
      </w:pPr>
      <w:r>
        <w:rPr>
          <w:rFonts w:hint="eastAsia" w:ascii="仿宋_GB2312" w:hAnsi="Times New Roman" w:eastAsia="仿宋_GB2312" w:cs="Times New Roman"/>
          <w:b/>
          <w:i w:val="0"/>
          <w:iCs w:val="0"/>
          <w:color w:val="auto"/>
          <w:sz w:val="24"/>
          <w:szCs w:val="24"/>
        </w:rPr>
        <w:t>开户银行：</w:t>
      </w:r>
    </w:p>
    <w:p>
      <w:pPr>
        <w:spacing w:line="360" w:lineRule="auto"/>
        <w:ind w:firstLine="482" w:firstLineChars="200"/>
        <w:jc w:val="left"/>
        <w:outlineLvl w:val="9"/>
        <w:rPr>
          <w:rFonts w:ascii="仿宋_GB2312" w:hAnsi="Times New Roman" w:eastAsia="仿宋_GB2312" w:cs="Times New Roman"/>
          <w:b/>
          <w:i w:val="0"/>
          <w:iCs w:val="0"/>
          <w:color w:val="auto"/>
          <w:sz w:val="30"/>
          <w:szCs w:val="30"/>
        </w:rPr>
      </w:pPr>
      <w:r>
        <w:rPr>
          <w:rFonts w:hint="eastAsia" w:ascii="仿宋_GB2312" w:hAnsi="Times New Roman" w:eastAsia="仿宋_GB2312" w:cs="Times New Roman"/>
          <w:b/>
          <w:i w:val="0"/>
          <w:iCs w:val="0"/>
          <w:color w:val="auto"/>
          <w:sz w:val="24"/>
          <w:szCs w:val="24"/>
        </w:rPr>
        <w:t>账    号：</w:t>
      </w: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tabs>
          <w:tab w:val="left" w:pos="180"/>
        </w:tabs>
        <w:spacing w:line="360" w:lineRule="auto"/>
        <w:ind w:firstLine="602" w:firstLineChars="200"/>
        <w:rPr>
          <w:rFonts w:ascii="仿宋_GB2312" w:eastAsia="仿宋_GB2312"/>
          <w:b/>
          <w:color w:val="000000"/>
          <w:sz w:val="30"/>
          <w:szCs w:val="30"/>
        </w:rPr>
      </w:pPr>
    </w:p>
    <w:p>
      <w:pPr>
        <w:spacing w:line="380" w:lineRule="atLeast"/>
        <w:jc w:val="center"/>
        <w:outlineLvl w:val="0"/>
        <w:rPr>
          <w:rFonts w:ascii="仿宋_GB2312" w:eastAsia="仿宋_GB2312"/>
          <w:b/>
          <w:color w:val="000000"/>
          <w:sz w:val="30"/>
          <w:szCs w:val="30"/>
        </w:rPr>
      </w:pPr>
    </w:p>
    <w:p>
      <w:pPr>
        <w:spacing w:line="380" w:lineRule="atLeast"/>
        <w:jc w:val="center"/>
        <w:outlineLvl w:val="0"/>
        <w:rPr>
          <w:rFonts w:ascii="仿宋_GB2312" w:eastAsia="仿宋_GB2312"/>
          <w:b/>
          <w:color w:val="000000"/>
          <w:sz w:val="30"/>
          <w:szCs w:val="30"/>
        </w:rPr>
      </w:pPr>
    </w:p>
    <w:p>
      <w:pPr>
        <w:spacing w:line="380" w:lineRule="atLeast"/>
        <w:jc w:val="both"/>
        <w:outlineLvl w:val="0"/>
        <w:rPr>
          <w:rFonts w:ascii="仿宋_GB2312" w:eastAsia="仿宋_GB2312"/>
          <w:b/>
          <w:color w:val="000000"/>
          <w:sz w:val="30"/>
          <w:szCs w:val="30"/>
        </w:rPr>
      </w:pPr>
    </w:p>
    <w:p>
      <w:pPr>
        <w:spacing w:line="380" w:lineRule="atLeast"/>
        <w:jc w:val="center"/>
        <w:outlineLvl w:val="0"/>
        <w:rPr>
          <w:rFonts w:ascii="仿宋_GB2312" w:eastAsia="仿宋_GB2312"/>
          <w:b/>
          <w:color w:val="000000"/>
          <w:sz w:val="30"/>
          <w:szCs w:val="30"/>
        </w:rPr>
      </w:pPr>
      <w:r>
        <w:rPr>
          <w:rFonts w:hint="eastAsia" w:ascii="仿宋_GB2312" w:eastAsia="仿宋_GB2312"/>
          <w:b/>
          <w:color w:val="000000"/>
          <w:sz w:val="30"/>
          <w:szCs w:val="30"/>
        </w:rPr>
        <w:t>债权转让协议</w:t>
      </w:r>
    </w:p>
    <w:p>
      <w:pPr>
        <w:spacing w:line="380" w:lineRule="atLeast"/>
        <w:jc w:val="center"/>
        <w:outlineLvl w:val="0"/>
        <w:rPr>
          <w:rFonts w:ascii="仿宋_GB2312" w:eastAsia="仿宋_GB2312"/>
          <w:b/>
          <w:color w:val="000000"/>
          <w:sz w:val="30"/>
          <w:szCs w:val="30"/>
        </w:rPr>
      </w:pPr>
      <w:r>
        <w:rPr>
          <w:rFonts w:hint="eastAsia" w:ascii="仿宋_GB2312" w:eastAsia="仿宋_GB2312"/>
          <w:b/>
          <w:color w:val="000000"/>
          <w:sz w:val="30"/>
          <w:szCs w:val="30"/>
        </w:rPr>
        <w:t>附件清单</w:t>
      </w:r>
    </w:p>
    <w:p>
      <w:pPr>
        <w:spacing w:line="380" w:lineRule="atLeast"/>
        <w:jc w:val="center"/>
        <w:outlineLvl w:val="0"/>
        <w:rPr>
          <w:rFonts w:ascii="仿宋_GB2312" w:eastAsia="仿宋_GB2312"/>
          <w:b/>
          <w:color w:val="000000"/>
          <w:sz w:val="30"/>
          <w:szCs w:val="30"/>
        </w:rPr>
      </w:pPr>
    </w:p>
    <w:p>
      <w:pPr>
        <w:tabs>
          <w:tab w:val="left" w:pos="8280"/>
        </w:tabs>
        <w:snapToGrid w:val="0"/>
        <w:spacing w:line="380" w:lineRule="atLeast"/>
        <w:ind w:left="1446" w:right="-154"/>
        <w:rPr>
          <w:rFonts w:ascii="仿宋_GB2312" w:eastAsia="仿宋_GB2312"/>
          <w:b/>
          <w:color w:val="000000"/>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1</w:t>
      </w:r>
      <w:r>
        <w:rPr>
          <w:rFonts w:hint="eastAsia" w:ascii="仿宋_GB2312" w:eastAsia="仿宋_GB2312"/>
          <w:b/>
          <w:color w:val="000000"/>
          <w:sz w:val="24"/>
        </w:rPr>
        <w:t>：贷款债权明细表</w:t>
      </w:r>
    </w:p>
    <w:p>
      <w:pPr>
        <w:tabs>
          <w:tab w:val="left" w:pos="8280"/>
        </w:tabs>
        <w:snapToGrid w:val="0"/>
        <w:spacing w:line="380" w:lineRule="atLeast"/>
        <w:ind w:right="-154" w:firstLine="1446" w:firstLineChars="600"/>
        <w:rPr>
          <w:rFonts w:ascii="仿宋_GB2312" w:eastAsia="仿宋_GB2312"/>
          <w:b/>
          <w:color w:val="000000"/>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2</w:t>
      </w:r>
      <w:r>
        <w:rPr>
          <w:rFonts w:hint="eastAsia" w:ascii="仿宋_GB2312" w:eastAsia="仿宋_GB2312"/>
          <w:b/>
          <w:color w:val="000000"/>
          <w:sz w:val="24"/>
        </w:rPr>
        <w:t>：贷款债权证明文件清单</w:t>
      </w:r>
    </w:p>
    <w:p>
      <w:pPr>
        <w:tabs>
          <w:tab w:val="left" w:pos="8280"/>
        </w:tabs>
        <w:snapToGrid w:val="0"/>
        <w:spacing w:line="380" w:lineRule="atLeast"/>
        <w:ind w:right="-154" w:firstLine="1446" w:firstLineChars="600"/>
        <w:rPr>
          <w:rFonts w:ascii="仿宋_GB2312" w:eastAsia="仿宋_GB2312"/>
          <w:b/>
          <w:color w:val="000000"/>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3</w:t>
      </w:r>
      <w:r>
        <w:rPr>
          <w:rFonts w:hint="eastAsia" w:ascii="仿宋_GB2312" w:eastAsia="仿宋_GB2312"/>
          <w:b/>
          <w:color w:val="000000"/>
          <w:sz w:val="24"/>
        </w:rPr>
        <w:t>：服务协议清单</w:t>
      </w:r>
    </w:p>
    <w:p>
      <w:pPr>
        <w:tabs>
          <w:tab w:val="left" w:pos="8280"/>
        </w:tabs>
        <w:snapToGrid w:val="0"/>
        <w:spacing w:line="380" w:lineRule="atLeast"/>
        <w:ind w:right="-154" w:firstLine="1446" w:firstLineChars="600"/>
        <w:rPr>
          <w:rFonts w:ascii="仿宋_GB2312" w:eastAsia="仿宋_GB2312"/>
          <w:b/>
          <w:color w:val="000000"/>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4</w:t>
      </w:r>
      <w:r>
        <w:rPr>
          <w:rFonts w:hint="eastAsia" w:ascii="仿宋_GB2312" w:eastAsia="仿宋_GB2312"/>
          <w:b/>
          <w:color w:val="000000"/>
          <w:sz w:val="24"/>
        </w:rPr>
        <w:t>：</w:t>
      </w:r>
      <w:r>
        <w:rPr>
          <w:rFonts w:hint="eastAsia" w:eastAsia="仿宋_GB2312"/>
          <w:b/>
          <w:sz w:val="24"/>
        </w:rPr>
        <w:t>贷款债权证明文件补充清单</w:t>
      </w:r>
    </w:p>
    <w:p>
      <w:pPr>
        <w:tabs>
          <w:tab w:val="left" w:pos="8280"/>
        </w:tabs>
        <w:snapToGrid w:val="0"/>
        <w:spacing w:line="380" w:lineRule="atLeast"/>
        <w:ind w:right="-154" w:firstLine="1446" w:firstLineChars="600"/>
        <w:rPr>
          <w:rFonts w:ascii="仿宋_GB2312" w:eastAsia="仿宋_GB2312"/>
          <w:b/>
          <w:sz w:val="24"/>
        </w:rPr>
      </w:pPr>
      <w:r>
        <w:rPr>
          <w:rFonts w:hint="eastAsia" w:ascii="仿宋_GB2312" w:eastAsia="仿宋_GB2312"/>
          <w:b/>
          <w:sz w:val="24"/>
        </w:rPr>
        <w:t>附件</w:t>
      </w:r>
      <w:r>
        <w:rPr>
          <w:rFonts w:hint="eastAsia" w:ascii="仿宋_GB2312" w:eastAsia="仿宋_GB2312"/>
          <w:b/>
          <w:sz w:val="24"/>
          <w:lang w:val="en-US" w:eastAsia="zh-CN"/>
        </w:rPr>
        <w:t>5</w:t>
      </w:r>
      <w:r>
        <w:rPr>
          <w:rFonts w:hint="eastAsia" w:ascii="仿宋_GB2312" w:eastAsia="仿宋_GB2312"/>
          <w:b/>
          <w:sz w:val="24"/>
        </w:rPr>
        <w:t>：贷款债权证明文件及服务协议收据</w:t>
      </w:r>
    </w:p>
    <w:p>
      <w:pPr>
        <w:tabs>
          <w:tab w:val="left" w:pos="8280"/>
        </w:tabs>
        <w:snapToGrid w:val="0"/>
        <w:spacing w:line="380" w:lineRule="atLeast"/>
        <w:ind w:right="-154" w:firstLine="1446" w:firstLineChars="600"/>
        <w:rPr>
          <w:rFonts w:ascii="仿宋_GB2312" w:eastAsia="仿宋_GB2312"/>
          <w:b/>
          <w:sz w:val="24"/>
        </w:rPr>
      </w:pPr>
      <w:r>
        <w:rPr>
          <w:rFonts w:hint="eastAsia" w:ascii="仿宋_GB2312" w:eastAsia="仿宋_GB2312"/>
          <w:b/>
          <w:sz w:val="24"/>
        </w:rPr>
        <w:t>附件</w:t>
      </w:r>
      <w:r>
        <w:rPr>
          <w:rFonts w:hint="eastAsia" w:ascii="仿宋_GB2312" w:eastAsia="仿宋_GB2312"/>
          <w:b/>
          <w:sz w:val="24"/>
          <w:lang w:val="en-US" w:eastAsia="zh-CN"/>
        </w:rPr>
        <w:t>6</w:t>
      </w:r>
      <w:r>
        <w:rPr>
          <w:rFonts w:hint="eastAsia" w:ascii="仿宋_GB2312" w:eastAsia="仿宋_GB2312"/>
          <w:b/>
          <w:sz w:val="24"/>
        </w:rPr>
        <w:t>：债权转让确认函</w:t>
      </w:r>
    </w:p>
    <w:p>
      <w:pPr>
        <w:tabs>
          <w:tab w:val="left" w:pos="8280"/>
        </w:tabs>
        <w:snapToGrid w:val="0"/>
        <w:spacing w:line="380" w:lineRule="atLeast"/>
        <w:ind w:right="-154" w:firstLine="1446" w:firstLineChars="600"/>
        <w:rPr>
          <w:rFonts w:ascii="仿宋_GB2312" w:eastAsia="仿宋_GB2312"/>
          <w:b/>
          <w:sz w:val="24"/>
        </w:rPr>
      </w:pPr>
      <w:r>
        <w:rPr>
          <w:rFonts w:hint="eastAsia" w:ascii="仿宋_GB2312" w:eastAsia="仿宋_GB2312"/>
          <w:b/>
          <w:sz w:val="24"/>
        </w:rPr>
        <w:t>附件</w:t>
      </w:r>
      <w:r>
        <w:rPr>
          <w:rFonts w:hint="eastAsia" w:ascii="仿宋_GB2312" w:eastAsia="仿宋_GB2312"/>
          <w:b/>
          <w:sz w:val="24"/>
          <w:lang w:val="en-US" w:eastAsia="zh-CN"/>
        </w:rPr>
        <w:t>7</w:t>
      </w:r>
      <w:r>
        <w:rPr>
          <w:rFonts w:hint="eastAsia" w:ascii="仿宋_GB2312" w:eastAsia="仿宋_GB2312"/>
          <w:b/>
          <w:sz w:val="24"/>
        </w:rPr>
        <w:t>：协议条款说明记录单</w:t>
      </w:r>
    </w:p>
    <w:p>
      <w:pPr>
        <w:tabs>
          <w:tab w:val="left" w:pos="8280"/>
        </w:tabs>
        <w:snapToGrid w:val="0"/>
        <w:spacing w:line="380" w:lineRule="atLeast"/>
        <w:ind w:right="-154" w:firstLine="1446" w:firstLineChars="600"/>
        <w:rPr>
          <w:rFonts w:ascii="仿宋_GB2312" w:eastAsia="仿宋_GB2312"/>
          <w:b/>
          <w:sz w:val="24"/>
        </w:rPr>
      </w:pPr>
    </w:p>
    <w:p>
      <w:pPr>
        <w:tabs>
          <w:tab w:val="left" w:pos="8280"/>
        </w:tabs>
        <w:snapToGrid w:val="0"/>
        <w:spacing w:line="380" w:lineRule="atLeast"/>
        <w:ind w:left="1441" w:right="-154"/>
        <w:rPr>
          <w:rFonts w:ascii="仿宋_GB2312" w:eastAsia="仿宋_GB2312"/>
          <w:b/>
          <w:color w:val="000000"/>
          <w:sz w:val="24"/>
        </w:rPr>
      </w:pPr>
    </w:p>
    <w:p>
      <w:pPr>
        <w:widowControl/>
        <w:spacing w:beforeAutospacing="1" w:afterAutospacing="1"/>
        <w:jc w:val="left"/>
        <w:rPr>
          <w:rFonts w:ascii="仿宋_GB2312" w:eastAsia="仿宋_GB2312"/>
          <w:color w:val="000000"/>
        </w:rPr>
        <w:sectPr>
          <w:footerReference r:id="rId3" w:type="default"/>
          <w:pgSz w:w="11906" w:h="16838"/>
          <w:pgMar w:top="1440" w:right="1800" w:bottom="1440" w:left="1800" w:header="851" w:footer="992" w:gutter="0"/>
          <w:cols w:space="720" w:num="1"/>
          <w:docGrid w:type="lines" w:linePitch="312" w:charSpace="0"/>
        </w:sectPr>
      </w:pPr>
    </w:p>
    <w:p>
      <w:pPr>
        <w:pStyle w:val="2"/>
        <w:keepNext w:val="0"/>
        <w:numPr>
          <w:ilvl w:val="0"/>
          <w:numId w:val="0"/>
        </w:numPr>
        <w:tabs>
          <w:tab w:val="left" w:pos="425"/>
          <w:tab w:val="clear" w:pos="420"/>
        </w:tabs>
        <w:ind w:leftChars="0"/>
        <w:jc w:val="center"/>
        <w:rPr>
          <w:rFonts w:ascii="仿宋_GB2312" w:eastAsia="仿宋_GB2312"/>
          <w:sz w:val="24"/>
        </w:rPr>
      </w:pPr>
      <w:r>
        <w:rPr>
          <w:rFonts w:hint="eastAsia" w:ascii="仿宋_GB2312" w:eastAsia="仿宋_GB2312"/>
          <w:sz w:val="24"/>
        </w:rPr>
        <w:t>附件</w:t>
      </w:r>
      <w:r>
        <w:rPr>
          <w:rFonts w:hint="eastAsia" w:ascii="仿宋_GB2312" w:eastAsia="仿宋_GB2312"/>
          <w:sz w:val="24"/>
          <w:lang w:val="en-US" w:eastAsia="zh-CN"/>
        </w:rPr>
        <w:t>1</w:t>
      </w:r>
      <w:r>
        <w:rPr>
          <w:rFonts w:hint="eastAsia" w:ascii="仿宋_GB2312" w:eastAsia="仿宋_GB2312"/>
          <w:sz w:val="24"/>
        </w:rPr>
        <w:t>：贷款债权明细表</w:t>
      </w:r>
    </w:p>
    <w:p>
      <w:pPr>
        <w:ind w:right="480"/>
        <w:rPr>
          <w:rFonts w:eastAsia="仿宋_GB2312"/>
        </w:rPr>
      </w:pPr>
    </w:p>
    <w:tbl>
      <w:tblPr>
        <w:tblStyle w:val="5"/>
        <w:tblW w:w="8520" w:type="dxa"/>
        <w:tblInd w:w="0" w:type="dxa"/>
        <w:tblLayout w:type="fixed"/>
        <w:tblCellMar>
          <w:top w:w="0" w:type="dxa"/>
          <w:left w:w="108" w:type="dxa"/>
          <w:bottom w:w="0" w:type="dxa"/>
          <w:right w:w="108" w:type="dxa"/>
        </w:tblCellMar>
      </w:tblPr>
      <w:tblGrid>
        <w:gridCol w:w="1404"/>
        <w:gridCol w:w="2225"/>
        <w:gridCol w:w="939"/>
        <w:gridCol w:w="1409"/>
        <w:gridCol w:w="1258"/>
        <w:gridCol w:w="1285"/>
      </w:tblGrid>
      <w:tr>
        <w:tblPrEx>
          <w:tblCellMar>
            <w:top w:w="0" w:type="dxa"/>
            <w:left w:w="108" w:type="dxa"/>
            <w:bottom w:w="0" w:type="dxa"/>
            <w:right w:w="108" w:type="dxa"/>
          </w:tblCellMar>
        </w:tblPrEx>
        <w:trPr>
          <w:trHeight w:val="522" w:hRule="atLeast"/>
        </w:trPr>
        <w:tc>
          <w:tcPr>
            <w:tcW w:w="140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债务企业名称</w:t>
            </w:r>
          </w:p>
        </w:tc>
        <w:tc>
          <w:tcPr>
            <w:tcW w:w="2225"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担保人名称</w:t>
            </w:r>
          </w:p>
        </w:tc>
        <w:tc>
          <w:tcPr>
            <w:tcW w:w="939"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币种</w:t>
            </w:r>
          </w:p>
        </w:tc>
        <w:tc>
          <w:tcPr>
            <w:tcW w:w="1409"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账面本金余额</w:t>
            </w:r>
          </w:p>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（人民币元）</w:t>
            </w:r>
          </w:p>
        </w:tc>
        <w:tc>
          <w:tcPr>
            <w:tcW w:w="1258"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账面利息（人民币元）</w:t>
            </w:r>
          </w:p>
        </w:tc>
        <w:tc>
          <w:tcPr>
            <w:tcW w:w="1285"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其他费用</w:t>
            </w:r>
            <w:r>
              <w:rPr>
                <w:rFonts w:hint="eastAsia" w:ascii="仿宋" w:hAnsi="仿宋" w:eastAsia="仿宋" w:cs="宋体"/>
                <w:color w:val="000000"/>
                <w:kern w:val="0"/>
                <w:sz w:val="18"/>
                <w:szCs w:val="18"/>
              </w:rPr>
              <w:t>（人民币元）</w:t>
            </w:r>
          </w:p>
        </w:tc>
      </w:tr>
      <w:tr>
        <w:tblPrEx>
          <w:tblCellMar>
            <w:top w:w="0" w:type="dxa"/>
            <w:left w:w="108" w:type="dxa"/>
            <w:bottom w:w="0" w:type="dxa"/>
            <w:right w:w="108" w:type="dxa"/>
          </w:tblCellMar>
        </w:tblPrEx>
        <w:trPr>
          <w:trHeight w:val="1223" w:hRule="atLeast"/>
        </w:trPr>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olor w:val="000000"/>
                <w:kern w:val="0"/>
                <w:sz w:val="18"/>
                <w:szCs w:val="18"/>
              </w:rPr>
              <w:t>山东省富泰新型建材有限公司</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山东隆发钢板有限公司</w:t>
            </w:r>
            <w:r>
              <w:rPr>
                <w:rFonts w:hint="eastAsia" w:ascii="仿宋" w:hAnsi="仿宋" w:eastAsia="仿宋" w:cs="宋体"/>
                <w:color w:val="000000"/>
                <w:kern w:val="0"/>
                <w:sz w:val="18"/>
                <w:szCs w:val="18"/>
                <w:lang w:eastAsia="zh-CN"/>
              </w:rPr>
              <w:t>、高炳成、李俊英、李俊宗、刘乐宝、高炳香、王德生、李俊兰、魏龙居、马继秀、郭永涛</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人民币</w:t>
            </w:r>
          </w:p>
        </w:tc>
        <w:tc>
          <w:tcPr>
            <w:tcW w:w="14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olor w:val="000000"/>
                <w:kern w:val="0"/>
                <w:sz w:val="18"/>
                <w:szCs w:val="18"/>
              </w:rPr>
              <w:t>44,282,779.22</w:t>
            </w:r>
          </w:p>
        </w:tc>
        <w:tc>
          <w:tcPr>
            <w:tcW w:w="12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olor w:val="000000"/>
                <w:kern w:val="0"/>
                <w:sz w:val="18"/>
                <w:szCs w:val="18"/>
              </w:rPr>
              <w:t>13,149,211.70</w:t>
            </w:r>
          </w:p>
        </w:tc>
        <w:tc>
          <w:tcPr>
            <w:tcW w:w="12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sz w:val="21"/>
                <w:szCs w:val="21"/>
              </w:rPr>
            </w:pPr>
            <w:r>
              <w:rPr>
                <w:rFonts w:hint="eastAsia" w:ascii="仿宋" w:hAnsi="仿宋" w:eastAsia="仿宋"/>
                <w:color w:val="000000"/>
                <w:kern w:val="0"/>
                <w:sz w:val="18"/>
                <w:szCs w:val="18"/>
              </w:rPr>
              <w:t>366,755.00</w:t>
            </w:r>
          </w:p>
        </w:tc>
      </w:tr>
      <w:tr>
        <w:tblPrEx>
          <w:tblCellMar>
            <w:top w:w="0" w:type="dxa"/>
            <w:left w:w="108" w:type="dxa"/>
            <w:bottom w:w="0" w:type="dxa"/>
            <w:right w:w="108" w:type="dxa"/>
          </w:tblCellMar>
        </w:tblPrEx>
        <w:trPr>
          <w:trHeight w:val="1223" w:hRule="atLeast"/>
        </w:trPr>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olor w:val="000000"/>
                <w:kern w:val="0"/>
                <w:sz w:val="18"/>
                <w:szCs w:val="18"/>
              </w:rPr>
              <w:t>山东百汇工业科技有限公司</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zh-CN"/>
              </w:rPr>
              <w:t>山东众普新能源有限公司、邹平宏达建筑安装工程有限公司、杨建章、李新华、韩会云、颜世森、耿晓霞、韩强、鲁会芳</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人民币</w:t>
            </w:r>
          </w:p>
        </w:tc>
        <w:tc>
          <w:tcPr>
            <w:tcW w:w="14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1"/>
                <w:szCs w:val="21"/>
              </w:rPr>
            </w:pPr>
            <w:r>
              <w:rPr>
                <w:rFonts w:hint="eastAsia" w:ascii="仿宋" w:hAnsi="仿宋" w:eastAsia="仿宋"/>
                <w:color w:val="000000"/>
                <w:kern w:val="0"/>
                <w:sz w:val="18"/>
                <w:szCs w:val="18"/>
              </w:rPr>
              <w:t>6,999,954.26</w:t>
            </w:r>
          </w:p>
        </w:tc>
        <w:tc>
          <w:tcPr>
            <w:tcW w:w="12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sz w:val="21"/>
                <w:szCs w:val="21"/>
              </w:rPr>
            </w:pPr>
            <w:r>
              <w:rPr>
                <w:rFonts w:hint="eastAsia" w:ascii="仿宋" w:hAnsi="仿宋" w:eastAsia="仿宋"/>
                <w:color w:val="000000"/>
                <w:kern w:val="0"/>
                <w:sz w:val="18"/>
                <w:szCs w:val="18"/>
              </w:rPr>
              <w:t>4,758,643.52</w:t>
            </w:r>
          </w:p>
        </w:tc>
        <w:tc>
          <w:tcPr>
            <w:tcW w:w="12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sz w:val="21"/>
                <w:szCs w:val="21"/>
              </w:rPr>
            </w:pPr>
            <w:r>
              <w:rPr>
                <w:rFonts w:hint="eastAsia" w:ascii="仿宋" w:hAnsi="仿宋" w:eastAsia="仿宋"/>
                <w:color w:val="000000"/>
                <w:kern w:val="0"/>
                <w:sz w:val="18"/>
                <w:szCs w:val="18"/>
              </w:rPr>
              <w:t>66,982.00</w:t>
            </w:r>
          </w:p>
        </w:tc>
      </w:tr>
      <w:tr>
        <w:tblPrEx>
          <w:tblCellMar>
            <w:top w:w="0" w:type="dxa"/>
            <w:left w:w="108" w:type="dxa"/>
            <w:bottom w:w="0" w:type="dxa"/>
            <w:right w:w="108" w:type="dxa"/>
          </w:tblCellMar>
        </w:tblPrEx>
        <w:trPr>
          <w:trHeight w:val="1223" w:hRule="atLeast"/>
        </w:trPr>
        <w:tc>
          <w:tcPr>
            <w:tcW w:w="36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合计</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人民币</w:t>
            </w:r>
          </w:p>
        </w:tc>
        <w:tc>
          <w:tcPr>
            <w:tcW w:w="14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51,282,733.48</w:t>
            </w:r>
          </w:p>
        </w:tc>
        <w:tc>
          <w:tcPr>
            <w:tcW w:w="12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17,907,855.22</w:t>
            </w:r>
          </w:p>
        </w:tc>
        <w:tc>
          <w:tcPr>
            <w:tcW w:w="12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433,737.00</w:t>
            </w:r>
          </w:p>
        </w:tc>
      </w:tr>
    </w:tbl>
    <w:p>
      <w:pPr>
        <w:rPr>
          <w:rFonts w:ascii="仿宋_GB2312" w:eastAsia="仿宋_GB2312"/>
          <w:color w:val="000000"/>
          <w:sz w:val="24"/>
        </w:rPr>
      </w:pPr>
      <w:r>
        <w:rPr>
          <w:rFonts w:hint="eastAsia" w:ascii="仿宋_GB2312" w:eastAsia="仿宋_GB2312"/>
          <w:color w:val="000000"/>
          <w:sz w:val="24"/>
        </w:rPr>
        <w:t>注：债权数额最终以贷款资料载明或司法文书确认的为准</w:t>
      </w:r>
    </w:p>
    <w:p>
      <w:pPr>
        <w:widowControl/>
        <w:spacing w:beforeAutospacing="1" w:afterAutospacing="1"/>
        <w:jc w:val="left"/>
        <w:rPr>
          <w:rFonts w:ascii="仿宋_GB2312" w:eastAsia="仿宋_GB2312"/>
          <w:b/>
          <w:kern w:val="44"/>
          <w:sz w:val="32"/>
        </w:rPr>
        <w:sectPr>
          <w:pgSz w:w="11906" w:h="16838"/>
          <w:pgMar w:top="1440" w:right="1797" w:bottom="1440" w:left="1797" w:header="851" w:footer="992" w:gutter="0"/>
          <w:cols w:space="720" w:num="1"/>
          <w:docGrid w:type="linesAndChars" w:linePitch="312" w:charSpace="0"/>
        </w:sectPr>
      </w:pPr>
    </w:p>
    <w:p>
      <w:pPr>
        <w:jc w:val="center"/>
        <w:rPr>
          <w:rFonts w:hint="eastAsia" w:ascii="仿宋_GB2312" w:eastAsia="仿宋_GB2312"/>
          <w:b/>
          <w:color w:val="000000"/>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2</w:t>
      </w:r>
      <w:r>
        <w:rPr>
          <w:rFonts w:hint="eastAsia" w:ascii="仿宋_GB2312" w:eastAsia="仿宋_GB2312"/>
          <w:b/>
          <w:color w:val="000000"/>
          <w:sz w:val="24"/>
        </w:rPr>
        <w:t>：拍卖债权权属文件清单</w:t>
      </w:r>
    </w:p>
    <w:p>
      <w:pPr>
        <w:jc w:val="left"/>
        <w:rPr>
          <w:rFonts w:hint="default" w:ascii="仿宋_GB2312" w:eastAsia="仿宋_GB2312"/>
          <w:b/>
          <w:color w:val="000000"/>
          <w:sz w:val="24"/>
          <w:lang w:val="en-US" w:eastAsia="zh-CN"/>
        </w:rPr>
      </w:pPr>
      <w:r>
        <w:rPr>
          <w:rFonts w:hint="eastAsia" w:ascii="仿宋_GB2312" w:eastAsia="仿宋_GB2312"/>
          <w:b/>
          <w:color w:val="000000"/>
          <w:sz w:val="24"/>
          <w:lang w:val="en-US" w:eastAsia="zh-CN"/>
        </w:rPr>
        <w:t>债务人：山东省富泰新型建材有限公司</w:t>
      </w:r>
    </w:p>
    <w:tbl>
      <w:tblPr>
        <w:tblStyle w:val="5"/>
        <w:tblW w:w="8189" w:type="dxa"/>
        <w:tblInd w:w="91" w:type="dxa"/>
        <w:tblLayout w:type="fixed"/>
        <w:tblCellMar>
          <w:top w:w="0" w:type="dxa"/>
          <w:left w:w="108" w:type="dxa"/>
          <w:bottom w:w="0" w:type="dxa"/>
          <w:right w:w="108" w:type="dxa"/>
        </w:tblCellMar>
      </w:tblPr>
      <w:tblGrid>
        <w:gridCol w:w="598"/>
        <w:gridCol w:w="4604"/>
        <w:gridCol w:w="1063"/>
        <w:gridCol w:w="1091"/>
        <w:gridCol w:w="833"/>
      </w:tblGrid>
      <w:tr>
        <w:tblPrEx>
          <w:tblCellMar>
            <w:top w:w="0" w:type="dxa"/>
            <w:left w:w="108" w:type="dxa"/>
            <w:bottom w:w="0" w:type="dxa"/>
            <w:right w:w="108" w:type="dxa"/>
          </w:tblCellMar>
        </w:tblPrEx>
        <w:trPr>
          <w:trHeight w:val="285" w:hRule="atLeas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序号</w:t>
            </w:r>
          </w:p>
        </w:tc>
        <w:tc>
          <w:tcPr>
            <w:tcW w:w="46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重要凭证名称及编号</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原件份数</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复印件份数</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备注</w:t>
            </w: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0161300023-2016年博兴（保）字0357号保证合同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0161300023-2016年博兴（保）字0357-01号保证合同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0161300023-2016年博兴（保）字0357-02号保证合同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0161300023-2016年博兴（保）字0357-03号保证合同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0161300023-2016年博兴（保）字0357-04号保证合同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0161300023-2016年博兴（保）字0357-05号保证合同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0161300023-2016年(博兴)字00380号流动资金借款合同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0161300023-2016年(博兴)字00380-01号委托支付协议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No1286768借据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0161300023-2017年博兴（保）字0055号保证合同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0161300023-2017年（展）字0055号借款展期协议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No0003853借据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催收材料</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0161300023-2018年（展）字0037号借款展期协议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No1273646借据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0161300023-2016年博兴（保）字0754号保证合同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0161300023-2016年博兴（保）字0754-01号保证合同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0161300023-2016年博兴（保）字0754-02号保证合同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0161300023-2016年博兴（保）字0754-04号保证合同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0161300023-2016年博兴（保）字0754-05号保证合同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0161300023-2016年(博兴)字00602号流动资金借款合同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0161300023-2016年(博兴)字00602-01号委托支付协议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No1286769借据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0161300023-2017年（展）字0075号借款展期协议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No1286496借据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催收材料</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0161300023-2017年（展）字0116号借款展期协议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No1281206借据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催收材料</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0161300023-2018年（展）字0042号借款展期协议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No0003093借据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0161300023-2016年博兴（保）字0346号保证合同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0161300023-2016年博兴（保）字0346-01号保证合同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0161300023-2016年博兴（保）字0346-02号保证合同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0161300023-2016年博兴（保）字0346-03号保证合同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0161300023-2016年博兴（保）字0346-04号保证合同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0161300023-2016年博兴（保）字0346-05号保证合同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0161300023-2016年(博兴)字00364号流动资金借款合同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0161300023-2016年(博兴)字00364-01号委托支付协议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No1286683借据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0161300023-2017年博兴（保）字0076号保证合同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0161300023-2017年（展）字0076号借款展期协议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No1286495借据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0161300023-2018年（展）字0043号借款展期协议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No00030695借据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委托支付协议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0161300023-2016年博兴（保）字0006-01号保证合同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0161300023-2016年博兴（保）字0006-02号保证合同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0161300023-2016年博兴（保）字0006-03号保证合同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0161300023-2016年(博兴)字00133号流动资金借款合同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委托支付协议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No1286766借据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0161300023-2017年博兴（保）字0054号保证合同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lang w:val="en-US" w:eastAsia="zh-CN"/>
              </w:rPr>
            </w:pPr>
            <w:r>
              <w:rPr>
                <w:rFonts w:hint="eastAsia" w:ascii="宋体" w:hAnsi="宋体" w:eastAsia="宋体" w:cs="宋体"/>
                <w:i w:val="0"/>
                <w:color w:val="000000"/>
                <w:kern w:val="0"/>
                <w:sz w:val="16"/>
                <w:szCs w:val="16"/>
                <w:u w:val="none"/>
                <w:lang w:val="en-US" w:eastAsia="zh-CN" w:bidi="ar"/>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0161300023-2017年博兴（展）字0054号借款展期协议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No0003857借据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催收材料</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送达地址确认</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0161300023-2018年博兴（展）字0044号借款展期协议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No0003096借据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（2018）鲁1625民初2480号民事判决书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16"/>
                <w:szCs w:val="16"/>
                <w:lang w:val="en-US" w:eastAsia="zh-CN"/>
              </w:rPr>
            </w:pPr>
            <w:r>
              <w:rPr>
                <w:rFonts w:hint="eastAsia" w:ascii="楷体" w:hAnsi="楷体" w:eastAsia="楷体" w:cs="宋体"/>
                <w:color w:val="000000"/>
                <w:kern w:val="0"/>
                <w:sz w:val="16"/>
                <w:szCs w:val="16"/>
                <w:lang w:val="en-US" w:eastAsia="zh-CN"/>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（2018）鲁1625民初2480号之一民事裁定书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16"/>
                <w:szCs w:val="16"/>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生效证明</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16"/>
                <w:szCs w:val="16"/>
                <w:lang w:val="en-US" w:eastAsia="zh-CN"/>
              </w:rPr>
            </w:pPr>
            <w:r>
              <w:rPr>
                <w:rFonts w:hint="eastAsia" w:ascii="楷体" w:hAnsi="楷体" w:eastAsia="楷体" w:cs="宋体"/>
                <w:color w:val="000000"/>
                <w:kern w:val="0"/>
                <w:sz w:val="16"/>
                <w:szCs w:val="16"/>
                <w:lang w:val="en-US" w:eastAsia="zh-CN"/>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强制执行申请书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16"/>
                <w:szCs w:val="16"/>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（2018）鲁1625民初2481号民事判决书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16"/>
                <w:szCs w:val="16"/>
                <w:lang w:val="en-US" w:eastAsia="zh-CN"/>
              </w:rPr>
            </w:pPr>
            <w:r>
              <w:rPr>
                <w:rFonts w:hint="eastAsia" w:ascii="楷体" w:hAnsi="楷体" w:eastAsia="楷体" w:cs="宋体"/>
                <w:color w:val="000000"/>
                <w:kern w:val="0"/>
                <w:sz w:val="16"/>
                <w:szCs w:val="16"/>
                <w:lang w:val="en-US" w:eastAsia="zh-CN"/>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生效证明</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000000"/>
                <w:kern w:val="0"/>
                <w:sz w:val="16"/>
                <w:szCs w:val="16"/>
                <w:lang w:val="en-US" w:eastAsia="zh-CN"/>
              </w:rPr>
            </w:pPr>
            <w:r>
              <w:rPr>
                <w:rFonts w:hint="eastAsia" w:ascii="楷体" w:hAnsi="楷体" w:eastAsia="楷体" w:cs="宋体"/>
                <w:color w:val="000000"/>
                <w:kern w:val="0"/>
                <w:sz w:val="16"/>
                <w:szCs w:val="16"/>
                <w:lang w:val="en-US" w:eastAsia="zh-CN"/>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强制执行申请书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（2018）鲁1625民初2482号民事判决书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生效证明</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强制执行申请书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承诺函</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公司文件</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0161300023-2016年博兴（质）字FT0919号最高额质押合同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变更协议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股东会决议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0161300023-2015年博兴（抵）字036号最高额抵押合同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变更协议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（博）私营股权登记设字【2016】第000077号私营股权出质设立登记通知书371625201609190001</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博工商抵登字（2015）第00129号动产抵押登记书016130003-2015年博兴（抵）字036号</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博房他证博兴县字第T20140779号房屋他项权证20140075</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eastAsia="宋体" w:cs="宋体"/>
                <w:i w:val="0"/>
                <w:color w:val="000000"/>
                <w:kern w:val="0"/>
                <w:sz w:val="16"/>
                <w:szCs w:val="16"/>
                <w:u w:val="none"/>
                <w:lang w:val="en-US" w:eastAsia="zh-CN" w:bidi="ar"/>
              </w:rPr>
              <w:t>博土他项（2014）第031号土地他项权利证明书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5" w:hRule="atLeas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楷体" w:hAnsi="楷体" w:eastAsia="楷体" w:cs="宋体"/>
                <w:color w:val="000000"/>
                <w:kern w:val="0"/>
                <w:sz w:val="24"/>
                <w:lang w:val="en-US"/>
              </w:rPr>
            </w:pPr>
            <w:r>
              <w:rPr>
                <w:rFonts w:hint="eastAsia" w:ascii="宋体" w:hAnsi="宋体" w:cs="宋体"/>
                <w:i w:val="0"/>
                <w:color w:val="000000"/>
                <w:kern w:val="0"/>
                <w:sz w:val="16"/>
                <w:szCs w:val="16"/>
                <w:u w:val="none"/>
                <w:lang w:val="en-US" w:eastAsia="zh-CN" w:bidi="ar"/>
              </w:rPr>
              <w:t>117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楷体" w:hAnsi="楷体" w:eastAsia="楷体" w:cs="宋体"/>
                <w:kern w:val="0"/>
                <w:sz w:val="24"/>
                <w:lang w:val="en-US" w:eastAsia="zh-CN"/>
              </w:rPr>
            </w:pPr>
            <w:r>
              <w:rPr>
                <w:rFonts w:hint="eastAsia" w:ascii="宋体" w:hAnsi="宋体" w:cs="宋体"/>
                <w:i w:val="0"/>
                <w:color w:val="000000"/>
                <w:kern w:val="0"/>
                <w:sz w:val="16"/>
                <w:szCs w:val="16"/>
                <w:u w:val="none"/>
                <w:lang w:val="en-US" w:eastAsia="zh-CN" w:bidi="ar"/>
              </w:rPr>
              <w:t>工银2019年028-10债权转让协议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lang w:val="en-US" w:eastAsia="zh-CN"/>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5" w:hRule="atLeas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楷体" w:hAnsi="楷体" w:eastAsia="楷体" w:cs="宋体"/>
                <w:color w:val="000000"/>
                <w:kern w:val="0"/>
                <w:sz w:val="24"/>
                <w:lang w:val="en-US"/>
              </w:rPr>
            </w:pPr>
            <w:r>
              <w:rPr>
                <w:rFonts w:hint="eastAsia" w:ascii="宋体" w:hAnsi="宋体" w:cs="宋体"/>
                <w:i w:val="0"/>
                <w:color w:val="000000"/>
                <w:kern w:val="0"/>
                <w:sz w:val="16"/>
                <w:szCs w:val="16"/>
                <w:u w:val="none"/>
                <w:lang w:val="en-US" w:eastAsia="zh-CN" w:bidi="ar"/>
              </w:rPr>
              <w:t>118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楷体" w:hAnsi="楷体" w:eastAsia="楷体" w:cs="宋体"/>
                <w:kern w:val="0"/>
                <w:sz w:val="24"/>
              </w:rPr>
            </w:pPr>
            <w:r>
              <w:rPr>
                <w:rFonts w:hint="eastAsia" w:ascii="宋体" w:hAnsi="宋体" w:cs="宋体"/>
                <w:i w:val="0"/>
                <w:color w:val="000000"/>
                <w:kern w:val="0"/>
                <w:sz w:val="16"/>
                <w:szCs w:val="16"/>
                <w:u w:val="none"/>
                <w:lang w:val="en-US" w:eastAsia="zh-CN" w:bidi="ar"/>
              </w:rPr>
              <w:t>山东法制报公告报纸</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5" w:hRule="atLeas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楷体" w:hAnsi="楷体" w:eastAsia="楷体" w:cs="宋体"/>
                <w:color w:val="000000"/>
                <w:kern w:val="0"/>
                <w:sz w:val="24"/>
                <w:lang w:val="en-US" w:eastAsia="zh-CN"/>
              </w:rPr>
            </w:pPr>
            <w:r>
              <w:rPr>
                <w:rFonts w:hint="eastAsia" w:ascii="宋体" w:hAnsi="宋体" w:cs="宋体"/>
                <w:i w:val="0"/>
                <w:color w:val="000000"/>
                <w:kern w:val="0"/>
                <w:sz w:val="16"/>
                <w:szCs w:val="16"/>
                <w:u w:val="none"/>
                <w:lang w:val="en-US" w:eastAsia="zh-CN" w:bidi="ar"/>
              </w:rPr>
              <w:t xml:space="preserve"> 119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楷体" w:hAnsi="楷体" w:eastAsia="楷体" w:cs="宋体"/>
                <w:kern w:val="0"/>
                <w:sz w:val="24"/>
                <w:lang w:val="en-US"/>
              </w:rPr>
            </w:pPr>
            <w:r>
              <w:rPr>
                <w:rFonts w:hint="eastAsia" w:ascii="宋体" w:hAnsi="宋体" w:cs="宋体"/>
                <w:i w:val="0"/>
                <w:color w:val="000000"/>
                <w:kern w:val="0"/>
                <w:sz w:val="16"/>
                <w:szCs w:val="16"/>
                <w:u w:val="none"/>
                <w:lang w:val="en-US" w:eastAsia="zh-CN" w:bidi="ar"/>
              </w:rPr>
              <w:t>债权转让确认书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bl>
    <w:p>
      <w:pPr>
        <w:jc w:val="center"/>
        <w:rPr>
          <w:rFonts w:ascii="仿宋_GB2312" w:eastAsia="仿宋_GB2312"/>
          <w:b/>
          <w:color w:val="000000"/>
          <w:sz w:val="24"/>
        </w:rPr>
      </w:pPr>
    </w:p>
    <w:p>
      <w:pPr>
        <w:jc w:val="left"/>
        <w:rPr>
          <w:rFonts w:hint="eastAsia" w:ascii="仿宋_GB2312" w:eastAsia="仿宋_GB2312"/>
          <w:b/>
          <w:color w:val="000000"/>
          <w:sz w:val="24"/>
          <w:lang w:val="en-US" w:eastAsia="zh-CN"/>
        </w:rPr>
      </w:pPr>
      <w:r>
        <w:rPr>
          <w:rFonts w:hint="eastAsia" w:ascii="仿宋_GB2312" w:eastAsia="仿宋_GB2312"/>
          <w:b/>
          <w:color w:val="000000"/>
          <w:sz w:val="24"/>
          <w:lang w:val="en-US" w:eastAsia="zh-CN"/>
        </w:rPr>
        <w:t>债务人：山东百汇工业科技有限公司</w:t>
      </w:r>
    </w:p>
    <w:tbl>
      <w:tblPr>
        <w:tblStyle w:val="5"/>
        <w:tblW w:w="8189" w:type="dxa"/>
        <w:tblInd w:w="91" w:type="dxa"/>
        <w:tblLayout w:type="fixed"/>
        <w:tblCellMar>
          <w:top w:w="0" w:type="dxa"/>
          <w:left w:w="108" w:type="dxa"/>
          <w:bottom w:w="0" w:type="dxa"/>
          <w:right w:w="108" w:type="dxa"/>
        </w:tblCellMar>
      </w:tblPr>
      <w:tblGrid>
        <w:gridCol w:w="598"/>
        <w:gridCol w:w="4604"/>
        <w:gridCol w:w="1063"/>
        <w:gridCol w:w="1091"/>
        <w:gridCol w:w="833"/>
      </w:tblGrid>
      <w:tr>
        <w:tblPrEx>
          <w:tblCellMar>
            <w:top w:w="0" w:type="dxa"/>
            <w:left w:w="108" w:type="dxa"/>
            <w:bottom w:w="0" w:type="dxa"/>
            <w:right w:w="108" w:type="dxa"/>
          </w:tblCellMar>
        </w:tblPrEx>
        <w:trPr>
          <w:trHeight w:val="285" w:hRule="atLeas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序号</w:t>
            </w:r>
          </w:p>
        </w:tc>
        <w:tc>
          <w:tcPr>
            <w:tcW w:w="46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重要凭证名称及编号</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原件份数</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复印件份数</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备注</w:t>
            </w: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eastAsia="宋体" w:cs="宋体"/>
                <w:i w:val="0"/>
                <w:color w:val="000000"/>
                <w:kern w:val="0"/>
                <w:sz w:val="16"/>
                <w:szCs w:val="16"/>
                <w:u w:val="none"/>
                <w:lang w:val="en-US" w:eastAsia="zh-CN" w:bidi="ar"/>
              </w:rPr>
              <w:t>0161300027-2014年(邹平)字0605号</w:t>
            </w:r>
            <w:r>
              <w:rPr>
                <w:rFonts w:hint="eastAsia" w:ascii="宋体" w:hAnsi="宋体" w:cs="宋体"/>
                <w:i w:val="0"/>
                <w:color w:val="000000"/>
                <w:kern w:val="0"/>
                <w:sz w:val="16"/>
                <w:szCs w:val="16"/>
                <w:u w:val="none"/>
                <w:lang w:val="en-US" w:eastAsia="zh-CN" w:bidi="ar"/>
              </w:rPr>
              <w:t>借款合同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eastAsia="宋体" w:cs="宋体"/>
                <w:i w:val="0"/>
                <w:color w:val="000000"/>
                <w:kern w:val="0"/>
                <w:sz w:val="16"/>
                <w:szCs w:val="16"/>
                <w:u w:val="none"/>
                <w:lang w:val="en-US" w:eastAsia="zh-CN" w:bidi="ar"/>
              </w:rPr>
              <w:t>0161300027-2014年邹平（保）字0933-号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0161300027-2014年邹平（保）字0933-1号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0161300027-2014年邹平（保）字0933-2号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0161300027-2014年邹平（保）字0933-3号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0161300027-2014年邹平（保）字0933号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eastAsia="宋体" w:cs="宋体"/>
                <w:i w:val="0"/>
                <w:color w:val="000000"/>
                <w:kern w:val="0"/>
                <w:sz w:val="16"/>
                <w:szCs w:val="16"/>
                <w:u w:val="none"/>
                <w:lang w:val="en-US" w:eastAsia="zh-CN" w:bidi="ar"/>
              </w:rPr>
              <w:t>0004832</w:t>
            </w:r>
            <w:r>
              <w:rPr>
                <w:rFonts w:hint="eastAsia" w:ascii="宋体" w:hAnsi="宋体" w:cs="宋体"/>
                <w:i w:val="0"/>
                <w:color w:val="000000"/>
                <w:kern w:val="0"/>
                <w:sz w:val="16"/>
                <w:szCs w:val="16"/>
                <w:u w:val="none"/>
                <w:lang w:val="en-US" w:eastAsia="zh-CN" w:bidi="ar"/>
              </w:rPr>
              <w:t>借款借据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eastAsia="宋体" w:cs="宋体"/>
                <w:i w:val="0"/>
                <w:color w:val="000000"/>
                <w:kern w:val="0"/>
                <w:sz w:val="16"/>
                <w:szCs w:val="16"/>
                <w:u w:val="none"/>
                <w:lang w:val="en-US" w:eastAsia="zh-CN" w:bidi="ar"/>
              </w:rPr>
              <w:t>0161300027-2014年(邹平)字0565号</w:t>
            </w:r>
            <w:r>
              <w:rPr>
                <w:rFonts w:hint="eastAsia" w:ascii="宋体" w:hAnsi="宋体" w:cs="宋体"/>
                <w:i w:val="0"/>
                <w:color w:val="000000"/>
                <w:kern w:val="0"/>
                <w:sz w:val="16"/>
                <w:szCs w:val="16"/>
                <w:u w:val="none"/>
                <w:lang w:val="en-US" w:eastAsia="zh-CN" w:bidi="ar"/>
              </w:rPr>
              <w:t>借款合同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0161300027-2014年邹平（保）字0857-1号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0161300027-2014年邹平（保）字0857-2号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4</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0161300027-2014年邹平（保）字0857-3号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0161300027-2014年邹平（保）字0857-4号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0161300027-2014年邹平（保）字0857-5号</w:t>
            </w:r>
            <w:r>
              <w:rPr>
                <w:rFonts w:hint="eastAsia" w:ascii="宋体" w:hAnsi="宋体" w:cs="宋体"/>
                <w:i w:val="0"/>
                <w:color w:val="000000"/>
                <w:kern w:val="0"/>
                <w:sz w:val="16"/>
                <w:szCs w:val="16"/>
                <w:u w:val="none"/>
                <w:lang w:val="en-US" w:eastAsia="zh-CN" w:bidi="ar"/>
              </w:rPr>
              <w:t>保证合同</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eastAsia="宋体" w:cs="宋体"/>
                <w:i w:val="0"/>
                <w:color w:val="000000"/>
                <w:kern w:val="0"/>
                <w:sz w:val="16"/>
                <w:szCs w:val="16"/>
                <w:u w:val="none"/>
                <w:lang w:val="en-US" w:eastAsia="zh-CN" w:bidi="ar"/>
              </w:rPr>
              <w:t>0004858</w:t>
            </w:r>
            <w:r>
              <w:rPr>
                <w:rFonts w:hint="eastAsia" w:ascii="宋体" w:hAnsi="宋体" w:cs="宋体"/>
                <w:i w:val="0"/>
                <w:color w:val="000000"/>
                <w:kern w:val="0"/>
                <w:sz w:val="16"/>
                <w:szCs w:val="16"/>
                <w:u w:val="none"/>
                <w:lang w:val="en-US" w:eastAsia="zh-CN" w:bidi="ar"/>
              </w:rPr>
              <w:t>借款借据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cs="宋体"/>
                <w:i w:val="0"/>
                <w:color w:val="000000"/>
                <w:kern w:val="0"/>
                <w:sz w:val="16"/>
                <w:szCs w:val="16"/>
                <w:u w:val="none"/>
                <w:lang w:val="en-US" w:eastAsia="zh-CN" w:bidi="ar"/>
              </w:rPr>
              <w:t>营业执照</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lang w:val="en-US" w:eastAsia="zh-CN"/>
              </w:rPr>
            </w:pPr>
            <w:r>
              <w:rPr>
                <w:rFonts w:hint="eastAsia" w:ascii="宋体" w:hAnsi="宋体" w:cs="宋体"/>
                <w:i w:val="0"/>
                <w:color w:val="000000"/>
                <w:kern w:val="0"/>
                <w:sz w:val="16"/>
                <w:szCs w:val="16"/>
                <w:u w:val="none"/>
                <w:lang w:val="en-US" w:eastAsia="zh-CN" w:bidi="ar"/>
              </w:rPr>
              <w:t>3</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cs="宋体"/>
                <w:i w:val="0"/>
                <w:color w:val="000000"/>
                <w:kern w:val="0"/>
                <w:sz w:val="16"/>
                <w:szCs w:val="16"/>
                <w:u w:val="none"/>
                <w:lang w:val="en-US" w:eastAsia="zh-CN" w:bidi="ar"/>
              </w:rPr>
              <w:t>组织机构代码证</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r>
              <w:rPr>
                <w:rFonts w:hint="eastAsia" w:ascii="宋体" w:hAnsi="宋体" w:cs="宋体"/>
                <w:i w:val="0"/>
                <w:color w:val="000000"/>
                <w:kern w:val="0"/>
                <w:sz w:val="16"/>
                <w:szCs w:val="16"/>
                <w:u w:val="none"/>
                <w:lang w:val="en-US" w:eastAsia="zh-CN" w:bidi="ar"/>
              </w:rPr>
              <w:t>3</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近一年财务报表</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r>
              <w:rPr>
                <w:rFonts w:hint="eastAsia" w:ascii="宋体" w:hAnsi="宋体" w:cs="宋体"/>
                <w:i w:val="0"/>
                <w:color w:val="000000"/>
                <w:kern w:val="0"/>
                <w:sz w:val="16"/>
                <w:szCs w:val="16"/>
                <w:u w:val="none"/>
                <w:lang w:val="en-US" w:eastAsia="zh-CN" w:bidi="ar"/>
              </w:rPr>
              <w:t>3</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自然人身份证复印件</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lang w:val="en-US" w:eastAsia="zh-CN"/>
              </w:rPr>
            </w:pPr>
            <w:r>
              <w:rPr>
                <w:rFonts w:hint="eastAsia" w:ascii="宋体" w:hAnsi="宋体" w:eastAsia="宋体" w:cs="宋体"/>
                <w:i w:val="0"/>
                <w:color w:val="000000"/>
                <w:kern w:val="0"/>
                <w:sz w:val="16"/>
                <w:szCs w:val="16"/>
                <w:u w:val="none"/>
                <w:lang w:val="en-US" w:eastAsia="zh-CN" w:bidi="ar"/>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20</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（2017）工行资转长城第BZ006-5号债权转让协议</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（2016）鲁1626民初954号判决书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（2016）鲁1626执1279号之一裁定书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23</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变更执行人申请书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24</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（2020）鲁1626执异53号裁定书</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25</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2017.9.4山东法制报公告报纸</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26</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宋体"/>
                <w:kern w:val="0"/>
                <w:sz w:val="16"/>
                <w:szCs w:val="16"/>
                <w:lang w:val="en-US"/>
              </w:rPr>
            </w:pPr>
            <w:r>
              <w:rPr>
                <w:rFonts w:hint="eastAsia" w:ascii="宋体" w:hAnsi="宋体" w:cs="宋体"/>
                <w:i w:val="0"/>
                <w:color w:val="000000"/>
                <w:kern w:val="0"/>
                <w:sz w:val="16"/>
                <w:szCs w:val="16"/>
                <w:u w:val="none"/>
                <w:lang w:val="en-US" w:eastAsia="zh-CN" w:bidi="ar"/>
              </w:rPr>
              <w:t>2019.9.4山东法制报公告报纸</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27</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0161300027-2014年邹平（保）字0857-3号</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28</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0161300027-2014年邹平（保）字0857-4号</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29</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0161300027-2014年邹平（保）字0857-5号</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31</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0161300027-2014年(邹平)字0605号</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r>
        <w:tblPrEx>
          <w:tblCellMar>
            <w:top w:w="0" w:type="dxa"/>
            <w:left w:w="108" w:type="dxa"/>
            <w:bottom w:w="0" w:type="dxa"/>
            <w:right w:w="108" w:type="dxa"/>
          </w:tblCellMar>
        </w:tblPrEx>
        <w:trPr>
          <w:trHeight w:val="283" w:hRule="exact"/>
        </w:trPr>
        <w:tc>
          <w:tcPr>
            <w:tcW w:w="5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32</w:t>
            </w:r>
          </w:p>
        </w:tc>
        <w:tc>
          <w:tcPr>
            <w:tcW w:w="4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宋体"/>
                <w:kern w:val="0"/>
                <w:sz w:val="16"/>
                <w:szCs w:val="16"/>
              </w:rPr>
            </w:pPr>
            <w:r>
              <w:rPr>
                <w:rFonts w:hint="eastAsia" w:ascii="宋体" w:hAnsi="宋体" w:eastAsia="宋体" w:cs="宋体"/>
                <w:i w:val="0"/>
                <w:color w:val="000000"/>
                <w:kern w:val="0"/>
                <w:sz w:val="16"/>
                <w:szCs w:val="16"/>
                <w:u w:val="none"/>
                <w:lang w:val="en-US" w:eastAsia="zh-CN" w:bidi="ar"/>
              </w:rPr>
              <w:t>0161300027-2014年邹平（保）字0933-号</w:t>
            </w:r>
          </w:p>
        </w:tc>
        <w:tc>
          <w:tcPr>
            <w:tcW w:w="10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楷体" w:hAnsi="楷体" w:eastAsia="楷体" w:cs="宋体"/>
                <w:color w:val="000000"/>
                <w:kern w:val="0"/>
                <w:sz w:val="24"/>
              </w:rPr>
            </w:pPr>
            <w:r>
              <w:rPr>
                <w:rFonts w:hint="eastAsia" w:ascii="宋体" w:hAnsi="宋体" w:eastAsia="宋体" w:cs="宋体"/>
                <w:i w:val="0"/>
                <w:color w:val="000000"/>
                <w:kern w:val="0"/>
                <w:sz w:val="16"/>
                <w:szCs w:val="16"/>
                <w:u w:val="none"/>
                <w:lang w:val="en-US" w:eastAsia="zh-CN" w:bidi="ar"/>
              </w:rPr>
              <w:t>1</w:t>
            </w:r>
          </w:p>
        </w:tc>
        <w:tc>
          <w:tcPr>
            <w:tcW w:w="1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000000"/>
                <w:kern w:val="0"/>
                <w:sz w:val="24"/>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4"/>
              </w:rPr>
            </w:pPr>
          </w:p>
        </w:tc>
      </w:tr>
    </w:tbl>
    <w:p>
      <w:pPr>
        <w:jc w:val="left"/>
        <w:rPr>
          <w:rFonts w:hint="eastAsia" w:ascii="仿宋_GB2312" w:eastAsia="仿宋_GB2312"/>
          <w:b/>
          <w:color w:val="000000"/>
          <w:sz w:val="24"/>
          <w:lang w:val="en-US" w:eastAsia="zh-CN"/>
        </w:rPr>
      </w:pPr>
    </w:p>
    <w:p>
      <w:pPr>
        <w:spacing w:line="360" w:lineRule="auto"/>
        <w:ind w:firstLine="480" w:firstLineChars="200"/>
        <w:rPr>
          <w:rFonts w:ascii="楷体_GB2312" w:eastAsia="楷体_GB2312"/>
          <w:sz w:val="24"/>
        </w:rPr>
      </w:pPr>
      <w:r>
        <w:rPr>
          <w:rFonts w:hint="eastAsia" w:ascii="楷体_GB2312" w:eastAsia="楷体_GB2312"/>
          <w:sz w:val="24"/>
        </w:rPr>
        <w:t>注：1、同一名称项下存在多份资产文件且部分为复印件的，应在备注中单独说明复印件的名称和数量；</w:t>
      </w:r>
    </w:p>
    <w:p>
      <w:pPr>
        <w:spacing w:line="360" w:lineRule="auto"/>
        <w:ind w:firstLine="480" w:firstLineChars="200"/>
        <w:rPr>
          <w:rFonts w:ascii="楷体_GB2312" w:eastAsia="楷体_GB2312"/>
          <w:sz w:val="24"/>
        </w:rPr>
      </w:pPr>
      <w:r>
        <w:rPr>
          <w:rFonts w:hint="eastAsia" w:ascii="楷体_GB2312" w:eastAsia="楷体_GB2312"/>
          <w:sz w:val="24"/>
        </w:rPr>
        <w:t>2、甲方于基准日实际持有的超出本清单范围的材料（如有），可在交割日一并交付给乙方，但该等交付不构成甲方在本协议项下的义务。</w:t>
      </w:r>
    </w:p>
    <w:p>
      <w:pPr>
        <w:spacing w:line="360" w:lineRule="auto"/>
        <w:ind w:firstLine="480" w:firstLineChars="200"/>
        <w:rPr>
          <w:rFonts w:ascii="楷体_GB2312" w:eastAsia="楷体_GB2312"/>
          <w:sz w:val="24"/>
        </w:rPr>
      </w:pP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w:t>
      </w:r>
      <w:r>
        <w:rPr>
          <w:rFonts w:hint="eastAsia" w:eastAsia="仿宋_GB2312"/>
          <w:b/>
          <w:color w:val="000000"/>
          <w:sz w:val="24"/>
        </w:rPr>
        <w:t>中国长城资产管理股份有限公司山东省分公司</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w:t>
      </w:r>
      <w:r>
        <w:rPr>
          <w:rFonts w:hint="eastAsia" w:eastAsia="仿宋_GB2312"/>
          <w:b/>
          <w:bCs/>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sz w:val="24"/>
        </w:rPr>
      </w:pPr>
      <w:r>
        <w:rPr>
          <w:rFonts w:hint="eastAsia" w:ascii="仿宋_GB2312" w:eastAsia="仿宋_GB2312"/>
          <w:b/>
          <w:color w:val="000000"/>
          <w:sz w:val="24"/>
        </w:rPr>
        <w:t xml:space="preserve">经办人（签字）：      </w:t>
      </w: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ind w:firstLine="3373" w:firstLineChars="1600"/>
        <w:rPr>
          <w:b/>
        </w:rPr>
      </w:pPr>
      <w:r>
        <w:rPr>
          <w:rFonts w:hint="eastAsia"/>
          <w:b/>
        </w:rPr>
        <w:t>附件</w:t>
      </w:r>
      <w:r>
        <w:rPr>
          <w:rFonts w:hint="eastAsia"/>
          <w:b/>
          <w:lang w:val="en-US" w:eastAsia="zh-CN"/>
        </w:rPr>
        <w:t>3</w:t>
      </w:r>
      <w:r>
        <w:rPr>
          <w:rFonts w:hint="eastAsia"/>
          <w:b/>
        </w:rPr>
        <w:t>：服务协议清单</w:t>
      </w:r>
    </w:p>
    <w:p>
      <w:pPr>
        <w:rPr>
          <w:rFonts w:ascii="仿宋_GB2312" w:eastAsia="仿宋_GB2312"/>
          <w:color w:val="000000"/>
          <w:sz w:val="24"/>
        </w:rPr>
      </w:pPr>
    </w:p>
    <w:p>
      <w:pPr>
        <w:rPr>
          <w:rFonts w:ascii="仿宋_GB2312" w:eastAsia="仿宋_GB2312"/>
          <w:color w:val="000000"/>
        </w:rPr>
      </w:pPr>
    </w:p>
    <w:tbl>
      <w:tblPr>
        <w:tblStyle w:val="5"/>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800"/>
        <w:gridCol w:w="2986"/>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4"/>
              </w:rPr>
            </w:pPr>
            <w:r>
              <w:rPr>
                <w:rFonts w:hint="eastAsia" w:ascii="仿宋_GB2312" w:eastAsia="仿宋_GB2312"/>
                <w:color w:val="000000"/>
                <w:sz w:val="24"/>
              </w:rPr>
              <w:t>序号</w:t>
            </w:r>
          </w:p>
        </w:tc>
        <w:tc>
          <w:tcPr>
            <w:tcW w:w="126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4"/>
              </w:rPr>
            </w:pPr>
            <w:r>
              <w:rPr>
                <w:rFonts w:hint="eastAsia" w:ascii="仿宋_GB2312" w:eastAsia="仿宋_GB2312"/>
                <w:color w:val="000000"/>
                <w:sz w:val="24"/>
              </w:rPr>
              <w:t>协议名称</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4"/>
              </w:rPr>
            </w:pPr>
            <w:r>
              <w:rPr>
                <w:rFonts w:hint="eastAsia" w:ascii="仿宋_GB2312" w:eastAsia="仿宋_GB2312"/>
                <w:color w:val="000000"/>
                <w:sz w:val="24"/>
              </w:rPr>
              <w:t>中介机构名称</w:t>
            </w:r>
          </w:p>
        </w:tc>
        <w:tc>
          <w:tcPr>
            <w:tcW w:w="298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18"/>
                <w:szCs w:val="18"/>
              </w:rPr>
            </w:pPr>
            <w:r>
              <w:rPr>
                <w:rFonts w:hint="eastAsia" w:ascii="仿宋_GB2312" w:eastAsia="仿宋_GB2312"/>
                <w:color w:val="000000"/>
                <w:sz w:val="24"/>
              </w:rPr>
              <w:t>协议编号或主要内容</w:t>
            </w:r>
          </w:p>
        </w:tc>
        <w:tc>
          <w:tcPr>
            <w:tcW w:w="2054"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12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2986"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2054"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r>
    </w:tbl>
    <w:p/>
    <w:p/>
    <w:p/>
    <w:p/>
    <w:p/>
    <w:p>
      <w:r>
        <w:rPr>
          <w:rFonts w:hint="eastAsia"/>
        </w:rPr>
        <w:t xml:space="preserve"> </w:t>
      </w:r>
    </w:p>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甲方：中国长城资产管理股份有限公司山东省分公司（盖章）</w:t>
      </w: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w:t>
      </w:r>
      <w:r>
        <w:rPr>
          <w:rFonts w:hint="eastAsia" w:eastAsia="仿宋_GB2312"/>
          <w:b/>
          <w:bCs/>
          <w:sz w:val="24"/>
        </w:rPr>
        <w:t xml:space="preserve"> </w:t>
      </w:r>
      <w:r>
        <w:rPr>
          <w:rFonts w:eastAsia="仿宋_GB2312"/>
          <w:b/>
          <w:bCs/>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
    <w:p/>
    <w:p/>
    <w:p/>
    <w:p/>
    <w:p/>
    <w:p/>
    <w:p>
      <w:pPr>
        <w:tabs>
          <w:tab w:val="left" w:pos="8280"/>
        </w:tabs>
        <w:snapToGrid w:val="0"/>
        <w:spacing w:line="360" w:lineRule="auto"/>
        <w:ind w:right="-154" w:firstLine="482" w:firstLineChars="200"/>
        <w:jc w:val="center"/>
        <w:rPr>
          <w:rFonts w:ascii="仿宋_GB2312" w:eastAsia="仿宋_GB2312"/>
          <w:b/>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4</w:t>
      </w:r>
      <w:r>
        <w:rPr>
          <w:rFonts w:hint="eastAsia" w:ascii="仿宋_GB2312" w:eastAsia="仿宋_GB2312"/>
          <w:b/>
          <w:color w:val="000000"/>
          <w:sz w:val="24"/>
        </w:rPr>
        <w:t>：</w:t>
      </w:r>
      <w:r>
        <w:rPr>
          <w:rFonts w:hint="eastAsia" w:ascii="仿宋_GB2312" w:eastAsia="仿宋_GB2312"/>
          <w:b/>
          <w:sz w:val="24"/>
        </w:rPr>
        <w:t>贷款债权证明文件补充清单</w:t>
      </w:r>
    </w:p>
    <w:p>
      <w:pPr>
        <w:tabs>
          <w:tab w:val="left" w:pos="8280"/>
        </w:tabs>
        <w:snapToGrid w:val="0"/>
        <w:spacing w:line="360" w:lineRule="auto"/>
        <w:ind w:right="-154" w:firstLine="482" w:firstLineChars="200"/>
        <w:jc w:val="center"/>
        <w:rPr>
          <w:rFonts w:ascii="仿宋_GB2312" w:eastAsia="仿宋_GB2312"/>
          <w:b/>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rPr>
            </w:pPr>
            <w:r>
              <w:rPr>
                <w:rFonts w:hint="eastAsia" w:ascii="仿宋_GB2312" w:eastAsia="仿宋_GB2312"/>
                <w:b/>
                <w:sz w:val="24"/>
              </w:rPr>
              <w:t>序号</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rPr>
            </w:pPr>
            <w:r>
              <w:rPr>
                <w:rFonts w:hint="eastAsia" w:ascii="仿宋_GB2312" w:eastAsia="仿宋_GB2312"/>
                <w:b/>
                <w:sz w:val="24"/>
              </w:rPr>
              <w:t>名称</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rPr>
            </w:pPr>
            <w:r>
              <w:rPr>
                <w:rFonts w:hint="eastAsia" w:ascii="仿宋_GB2312" w:eastAsia="仿宋_GB2312"/>
                <w:b/>
                <w:sz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shd w:val="pct10" w:color="auto" w:fill="FFFFFF"/>
              </w:rPr>
            </w:pPr>
            <w:r>
              <w:rPr>
                <w:rFonts w:hint="eastAsia" w:ascii="仿宋_GB2312" w:eastAsia="仿宋_GB2312"/>
                <w:color w:val="000000"/>
              </w:rPr>
              <w:t>无</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shd w:val="pct10" w:color="auto" w:fill="FFFFFF"/>
              </w:rPr>
            </w:pPr>
            <w:r>
              <w:rPr>
                <w:rFonts w:hint="eastAsia" w:ascii="仿宋_GB2312" w:eastAsia="仿宋_GB2312"/>
                <w:color w:val="000000"/>
              </w:rPr>
              <w:t>无</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shd w:val="pct10" w:color="auto" w:fill="FFFFFF"/>
              </w:rPr>
            </w:pPr>
            <w:r>
              <w:rPr>
                <w:rFonts w:hint="eastAsia" w:ascii="仿宋_GB2312" w:eastAsia="仿宋_GB2312"/>
                <w:color w:val="000000"/>
              </w:rPr>
              <w:t>无</w:t>
            </w:r>
          </w:p>
        </w:tc>
      </w:tr>
    </w:tbl>
    <w:p>
      <w:pPr>
        <w:spacing w:line="380" w:lineRule="atLeast"/>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甲方：中国长城资产管理股份有限公司山东省分公司（盖章）</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color w:val="000000"/>
          <w:sz w:val="24"/>
        </w:rPr>
      </w:pPr>
      <w:r>
        <w:rPr>
          <w:rFonts w:hint="eastAsia" w:ascii="仿宋_GB2312" w:eastAsia="仿宋_GB2312"/>
          <w:b/>
          <w:color w:val="000000"/>
          <w:sz w:val="24"/>
        </w:rPr>
        <w:t xml:space="preserve">经办人（签字）：                            </w:t>
      </w: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r>
        <w:rPr>
          <w:rFonts w:hint="eastAsia" w:ascii="仿宋_GB2312" w:eastAsia="仿宋_GB2312"/>
          <w:b/>
          <w:color w:val="000000"/>
          <w:sz w:val="24"/>
        </w:rPr>
        <w:t>附件</w:t>
      </w:r>
      <w:r>
        <w:rPr>
          <w:rFonts w:hint="eastAsia" w:ascii="仿宋_GB2312" w:eastAsia="仿宋_GB2312"/>
          <w:b/>
          <w:color w:val="000000"/>
          <w:sz w:val="24"/>
          <w:lang w:val="en-US" w:eastAsia="zh-CN"/>
        </w:rPr>
        <w:t>5</w:t>
      </w:r>
      <w:r>
        <w:rPr>
          <w:rFonts w:hint="eastAsia" w:ascii="仿宋_GB2312" w:eastAsia="仿宋_GB2312"/>
          <w:b/>
          <w:color w:val="000000"/>
          <w:sz w:val="24"/>
        </w:rPr>
        <w:t>：</w:t>
      </w:r>
      <w:r>
        <w:rPr>
          <w:rFonts w:hint="eastAsia" w:ascii="仿宋_GB2312" w:eastAsia="仿宋_GB2312"/>
          <w:b/>
          <w:sz w:val="24"/>
        </w:rPr>
        <w:t>贷款债权证明文件及服务协议收据</w:t>
      </w:r>
    </w:p>
    <w:p>
      <w:pPr>
        <w:rPr>
          <w:rFonts w:ascii="仿宋_GB2312" w:eastAsia="仿宋_GB2312"/>
          <w:color w:val="000000"/>
          <w:sz w:val="24"/>
        </w:rPr>
      </w:pPr>
    </w:p>
    <w:p>
      <w:pPr>
        <w:spacing w:line="360" w:lineRule="auto"/>
        <w:rPr>
          <w:rFonts w:ascii="仿宋_GB2312" w:eastAsia="仿宋_GB2312"/>
          <w:color w:val="000000"/>
          <w:sz w:val="24"/>
        </w:rPr>
      </w:pPr>
    </w:p>
    <w:p>
      <w:pPr>
        <w:spacing w:line="360" w:lineRule="auto"/>
        <w:rPr>
          <w:rFonts w:ascii="仿宋_GB2312" w:eastAsia="仿宋_GB2312"/>
          <w:color w:val="000000"/>
          <w:sz w:val="24"/>
        </w:rPr>
      </w:pPr>
      <w:r>
        <w:rPr>
          <w:rFonts w:hint="eastAsia" w:ascii="仿宋_GB2312" w:eastAsia="仿宋_GB2312"/>
          <w:color w:val="000000"/>
          <w:sz w:val="24"/>
        </w:rPr>
        <w:t>致：中国长城资产管理股份有限公司山东省分公司</w:t>
      </w:r>
    </w:p>
    <w:p>
      <w:pPr>
        <w:spacing w:line="360" w:lineRule="auto"/>
        <w:ind w:firstLine="480" w:firstLineChars="200"/>
        <w:jc w:val="left"/>
        <w:rPr>
          <w:rFonts w:ascii="仿宋_GB2312" w:eastAsia="仿宋_GB2312"/>
          <w:color w:val="000000"/>
          <w:sz w:val="24"/>
        </w:rPr>
      </w:pPr>
      <w:r>
        <w:rPr>
          <w:rFonts w:hint="eastAsia" w:ascii="仿宋_GB2312" w:eastAsia="仿宋_GB2312"/>
          <w:color w:val="000000"/>
          <w:sz w:val="24"/>
        </w:rPr>
        <w:t>根据中国长城资产管理股份有限公司山东省分公司与</w:t>
      </w:r>
      <w:r>
        <w:rPr>
          <w:rFonts w:hint="eastAsia" w:ascii="仿宋_GB2312" w:eastAsia="仿宋_GB2312"/>
          <w:color w:val="000000"/>
          <w:sz w:val="24"/>
          <w:u w:val="single"/>
        </w:rPr>
        <w:t xml:space="preserve"> </w:t>
      </w:r>
      <w:r>
        <w:rPr>
          <w:rFonts w:ascii="仿宋_GB2312" w:eastAsia="仿宋_GB2312"/>
          <w:color w:val="000000"/>
          <w:sz w:val="24"/>
          <w:u w:val="single"/>
        </w:rPr>
        <w:t xml:space="preserve">             </w:t>
      </w:r>
      <w:r>
        <w:rPr>
          <w:rFonts w:hint="eastAsia" w:ascii="仿宋_GB2312" w:eastAsia="仿宋_GB2312"/>
          <w:color w:val="000000"/>
          <w:sz w:val="24"/>
        </w:rPr>
        <w:t>于</w:t>
      </w:r>
      <w:r>
        <w:rPr>
          <w:rFonts w:ascii="仿宋_GB2312" w:eastAsia="仿宋_GB2312"/>
          <w:color w:val="000000"/>
          <w:sz w:val="24"/>
          <w:u w:val="single"/>
        </w:rPr>
        <w:t xml:space="preserve">     </w:t>
      </w:r>
      <w:r>
        <w:rPr>
          <w:rFonts w:ascii="仿宋_GB2312" w:eastAsia="仿宋_GB2312"/>
          <w:color w:val="000000"/>
          <w:sz w:val="24"/>
        </w:rPr>
        <w:t xml:space="preserve"> </w:t>
      </w:r>
      <w:r>
        <w:rPr>
          <w:rFonts w:hint="eastAsia" w:ascii="仿宋_GB2312" w:eastAsia="仿宋_GB2312"/>
          <w:color w:val="000000"/>
          <w:sz w:val="24"/>
        </w:rPr>
        <w:t>年</w:t>
      </w:r>
      <w:r>
        <w:rPr>
          <w:rFonts w:ascii="仿宋_GB2312" w:eastAsia="仿宋_GB2312"/>
          <w:color w:val="000000"/>
          <w:sz w:val="24"/>
          <w:u w:val="single"/>
        </w:rPr>
        <w:t xml:space="preserve"> </w:t>
      </w:r>
      <w:r>
        <w:rPr>
          <w:rFonts w:hint="eastAsia" w:ascii="仿宋_GB2312" w:eastAsia="仿宋_GB2312"/>
          <w:color w:val="000000"/>
          <w:sz w:val="24"/>
          <w:u w:val="single"/>
        </w:rPr>
        <w:t xml:space="preserve"> </w:t>
      </w:r>
      <w:r>
        <w:rPr>
          <w:rFonts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日签订的《债权转让协议》， 对中国长城资产管理股份有限公司山东省分公司于</w:t>
      </w:r>
      <w:r>
        <w:rPr>
          <w:rFonts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日（交割日）向其移交的贷款债权证明文件及服务协议进行了核对， 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ascii="仿宋_GB2312" w:eastAsia="仿宋_GB2312"/>
          <w:color w:val="000000"/>
          <w:sz w:val="24"/>
        </w:rPr>
      </w:pPr>
    </w:p>
    <w:p>
      <w:pPr>
        <w:spacing w:line="360" w:lineRule="auto"/>
        <w:ind w:firstLine="480" w:firstLineChars="200"/>
        <w:rPr>
          <w:rFonts w:ascii="仿宋_GB2312" w:eastAsia="仿宋_GB2312"/>
          <w:color w:val="000000"/>
          <w:sz w:val="24"/>
        </w:rPr>
      </w:pPr>
    </w:p>
    <w:p>
      <w:pPr>
        <w:spacing w:line="360" w:lineRule="auto"/>
        <w:ind w:firstLine="3120" w:firstLineChars="1300"/>
        <w:rPr>
          <w:rFonts w:ascii="仿宋_GB2312" w:eastAsia="仿宋_GB2312"/>
          <w:color w:val="000000"/>
          <w:sz w:val="24"/>
        </w:rPr>
      </w:pPr>
    </w:p>
    <w:p>
      <w:pPr>
        <w:spacing w:line="360" w:lineRule="auto"/>
        <w:ind w:firstLine="3373" w:firstLineChars="1400"/>
        <w:rPr>
          <w:rFonts w:ascii="仿宋_GB2312" w:eastAsia="仿宋_GB2312"/>
          <w:b/>
          <w:color w:val="000000"/>
          <w:sz w:val="24"/>
        </w:rPr>
      </w:pPr>
      <w:r>
        <w:rPr>
          <w:rFonts w:hint="eastAsia" w:ascii="仿宋_GB2312" w:eastAsia="仿宋_GB2312"/>
          <w:b/>
          <w:color w:val="000000"/>
          <w:sz w:val="24"/>
        </w:rPr>
        <w:t>乙     方：</w:t>
      </w:r>
      <w:r>
        <w:rPr>
          <w:rFonts w:hint="eastAsia" w:eastAsia="仿宋_GB2312"/>
          <w:b/>
          <w:bCs/>
          <w:sz w:val="24"/>
        </w:rPr>
        <w:t xml:space="preserve"> </w:t>
      </w:r>
      <w:r>
        <w:rPr>
          <w:rFonts w:eastAsia="仿宋_GB2312"/>
          <w:b/>
          <w:bCs/>
          <w:sz w:val="24"/>
        </w:rPr>
        <w:t xml:space="preserve">        </w:t>
      </w:r>
      <w:r>
        <w:rPr>
          <w:rFonts w:hint="eastAsia" w:ascii="仿宋_GB2312" w:eastAsia="仿宋_GB2312"/>
          <w:b/>
          <w:color w:val="000000"/>
          <w:sz w:val="24"/>
        </w:rPr>
        <w:t>（盖章）</w:t>
      </w:r>
    </w:p>
    <w:p>
      <w:pPr>
        <w:spacing w:line="360" w:lineRule="auto"/>
        <w:ind w:firstLine="3253" w:firstLineChars="1350"/>
        <w:rPr>
          <w:rFonts w:eastAsia="仿宋_GB2312"/>
          <w:b/>
          <w:color w:val="000000"/>
          <w:sz w:val="24"/>
        </w:rPr>
      </w:pPr>
    </w:p>
    <w:p>
      <w:pPr>
        <w:spacing w:line="360" w:lineRule="auto"/>
        <w:ind w:firstLine="3253" w:firstLineChars="1350"/>
        <w:rPr>
          <w:rFonts w:eastAsia="仿宋_GB2312"/>
          <w:b/>
          <w:color w:val="000000"/>
          <w:sz w:val="24"/>
        </w:rPr>
      </w:pPr>
      <w:r>
        <w:rPr>
          <w:rFonts w:hint="eastAsia" w:eastAsia="仿宋_GB2312"/>
          <w:b/>
          <w:color w:val="000000"/>
          <w:sz w:val="24"/>
        </w:rPr>
        <w:t xml:space="preserve">经 办 人：（签名） </w:t>
      </w:r>
      <w:r>
        <w:rPr>
          <w:rFonts w:eastAsia="仿宋_GB2312"/>
          <w:b/>
          <w:color w:val="000000"/>
          <w:sz w:val="24"/>
        </w:rPr>
        <w:t xml:space="preserve">                </w:t>
      </w:r>
    </w:p>
    <w:p>
      <w:pPr>
        <w:spacing w:line="360" w:lineRule="auto"/>
        <w:ind w:firstLine="3012" w:firstLineChars="1250"/>
        <w:rPr>
          <w:rFonts w:ascii="仿宋_GB2312" w:eastAsia="仿宋_GB2312"/>
          <w:b/>
          <w:color w:val="000000"/>
          <w:sz w:val="24"/>
        </w:rPr>
      </w:pPr>
    </w:p>
    <w:p>
      <w:pPr>
        <w:spacing w:line="360" w:lineRule="auto"/>
        <w:ind w:firstLine="3012" w:firstLineChars="1250"/>
        <w:rPr>
          <w:rFonts w:ascii="仿宋_GB2312" w:eastAsia="仿宋_GB2312"/>
          <w:b/>
          <w:color w:val="000000"/>
          <w:sz w:val="24"/>
        </w:rPr>
      </w:pPr>
    </w:p>
    <w:p>
      <w:pPr>
        <w:spacing w:line="360" w:lineRule="auto"/>
        <w:ind w:firstLine="5756" w:firstLineChars="2389"/>
        <w:rPr>
          <w:rFonts w:ascii="仿宋_GB2312" w:eastAsia="仿宋_GB2312"/>
          <w:b/>
          <w:color w:val="000000"/>
          <w:sz w:val="24"/>
        </w:rPr>
      </w:pPr>
      <w:r>
        <w:rPr>
          <w:rFonts w:hint="eastAsia" w:ascii="仿宋_GB2312" w:eastAsia="仿宋_GB2312"/>
          <w:b/>
          <w:color w:val="000000"/>
          <w:sz w:val="24"/>
        </w:rPr>
        <w:t>年   月    日</w:t>
      </w:r>
    </w:p>
    <w:p>
      <w:pPr>
        <w:spacing w:line="360" w:lineRule="auto"/>
        <w:ind w:firstLine="3720" w:firstLineChars="1550"/>
        <w:rPr>
          <w:rFonts w:ascii="仿宋_GB2312" w:eastAsia="仿宋_GB2312"/>
          <w:color w:val="000000"/>
          <w:sz w:val="24"/>
        </w:rPr>
      </w:pPr>
    </w:p>
    <w:p>
      <w:pPr>
        <w:spacing w:line="360" w:lineRule="auto"/>
        <w:ind w:firstLine="3720" w:firstLineChars="1550"/>
        <w:rPr>
          <w:rFonts w:ascii="仿宋_GB2312" w:eastAsia="仿宋_GB2312"/>
          <w:color w:val="000000"/>
          <w:sz w:val="24"/>
        </w:rPr>
      </w:pPr>
    </w:p>
    <w:p>
      <w:pPr>
        <w:spacing w:line="360" w:lineRule="auto"/>
        <w:ind w:firstLine="3720" w:firstLineChars="1550"/>
        <w:rPr>
          <w:rFonts w:ascii="仿宋_GB2312" w:eastAsia="仿宋_GB2312"/>
          <w:color w:val="000000"/>
          <w:sz w:val="24"/>
        </w:rPr>
      </w:pPr>
    </w:p>
    <w:p>
      <w:pPr>
        <w:spacing w:line="360" w:lineRule="auto"/>
        <w:ind w:firstLine="3720" w:firstLineChars="1550"/>
        <w:rPr>
          <w:rFonts w:ascii="仿宋_GB2312" w:eastAsia="仿宋_GB2312"/>
          <w:color w:val="000000"/>
          <w:sz w:val="24"/>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
      <w:pPr>
        <w:ind w:firstLine="2741" w:firstLineChars="1300"/>
        <w:rPr>
          <w:b/>
          <w:color w:val="auto"/>
        </w:rPr>
      </w:pPr>
      <w:r>
        <w:rPr>
          <w:rFonts w:hint="eastAsia"/>
          <w:b/>
          <w:color w:val="auto"/>
        </w:rPr>
        <w:t>附件</w:t>
      </w:r>
      <w:r>
        <w:rPr>
          <w:rFonts w:hint="eastAsia"/>
          <w:b/>
          <w:color w:val="auto"/>
          <w:lang w:val="en-US" w:eastAsia="zh-CN"/>
        </w:rPr>
        <w:t>6</w:t>
      </w:r>
      <w:r>
        <w:rPr>
          <w:rFonts w:hint="eastAsia"/>
          <w:b/>
          <w:color w:val="auto"/>
        </w:rPr>
        <w:t>：债权转让确认函</w:t>
      </w:r>
    </w:p>
    <w:p>
      <w:pPr>
        <w:keepNext w:val="0"/>
        <w:keepLines w:val="0"/>
        <w:pageBreakBefore w:val="0"/>
        <w:widowControl w:val="0"/>
        <w:kinsoku/>
        <w:wordWrap/>
        <w:overflowPunct/>
        <w:topLinePunct w:val="0"/>
        <w:autoSpaceDE/>
        <w:autoSpaceDN/>
        <w:bidi w:val="0"/>
        <w:adjustRightInd/>
        <w:snapToGrid/>
        <w:spacing w:line="480" w:lineRule="exact"/>
        <w:ind w:right="480"/>
        <w:textAlignment w:val="auto"/>
        <w:rPr>
          <w:rFonts w:ascii="仿宋_GB2312" w:eastAsia="仿宋_GB2312"/>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right="480"/>
        <w:textAlignment w:val="auto"/>
        <w:rPr>
          <w:rFonts w:ascii="仿宋" w:hAnsi="仿宋" w:eastAsia="仿宋"/>
          <w:color w:val="auto"/>
          <w:sz w:val="24"/>
        </w:rPr>
      </w:pPr>
      <w:r>
        <w:rPr>
          <w:rFonts w:hint="eastAsia" w:ascii="仿宋" w:hAnsi="仿宋" w:eastAsia="仿宋"/>
          <w:color w:val="auto"/>
          <w:sz w:val="24"/>
        </w:rPr>
        <w:t>致：</w:t>
      </w:r>
      <w:r>
        <w:rPr>
          <w:rFonts w:hint="eastAsia" w:eastAsia="仿宋_GB2312"/>
          <w:b/>
          <w:bCs/>
          <w:color w:val="auto"/>
          <w:sz w:val="24"/>
          <w:u w:val="single"/>
        </w:rPr>
        <w:t xml:space="preserve"> </w:t>
      </w:r>
      <w:r>
        <w:rPr>
          <w:rFonts w:eastAsia="仿宋_GB2312"/>
          <w:b/>
          <w:bCs/>
          <w:color w:val="auto"/>
          <w:sz w:val="24"/>
          <w:u w:val="single"/>
        </w:rPr>
        <w:t xml:space="preserve">               </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受让方</w:t>
      </w:r>
      <w:r>
        <w:rPr>
          <w:rFonts w:ascii="仿宋" w:hAnsi="仿宋" w:eastAsia="仿宋"/>
          <w:color w:val="auto"/>
          <w:sz w:val="24"/>
        </w:rPr>
        <w:t>”</w:t>
      </w:r>
      <w:r>
        <w:rPr>
          <w:rFonts w:hint="eastAsia" w:ascii="仿宋" w:hAnsi="仿宋" w:eastAsia="仿宋"/>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仿宋" w:hAnsi="仿宋" w:eastAsia="仿宋"/>
          <w:color w:val="auto"/>
          <w:sz w:val="24"/>
        </w:rPr>
      </w:pPr>
      <w:r>
        <w:rPr>
          <w:rFonts w:hint="eastAsia" w:ascii="仿宋" w:hAnsi="仿宋" w:eastAsia="仿宋"/>
          <w:color w:val="auto"/>
          <w:sz w:val="24"/>
        </w:rPr>
        <w:t>根据中国长城资产管理股份有限公司山东省分公司(</w:t>
      </w:r>
      <w:r>
        <w:rPr>
          <w:rFonts w:ascii="仿宋" w:hAnsi="仿宋" w:eastAsia="仿宋"/>
          <w:color w:val="auto"/>
          <w:sz w:val="24"/>
        </w:rPr>
        <w:t>“</w:t>
      </w:r>
      <w:r>
        <w:rPr>
          <w:rFonts w:hint="eastAsia" w:ascii="仿宋" w:hAnsi="仿宋" w:eastAsia="仿宋"/>
          <w:color w:val="auto"/>
          <w:sz w:val="24"/>
        </w:rPr>
        <w:t>转让方</w:t>
      </w:r>
      <w:r>
        <w:rPr>
          <w:rFonts w:ascii="仿宋" w:hAnsi="仿宋" w:eastAsia="仿宋"/>
          <w:color w:val="auto"/>
          <w:sz w:val="24"/>
        </w:rPr>
        <w:t>”</w:t>
      </w:r>
      <w:r>
        <w:rPr>
          <w:rFonts w:hint="eastAsia" w:ascii="仿宋" w:hAnsi="仿宋" w:eastAsia="仿宋"/>
          <w:color w:val="auto"/>
          <w:sz w:val="24"/>
        </w:rPr>
        <w:t>)与</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受让方</w:t>
      </w:r>
      <w:r>
        <w:rPr>
          <w:rFonts w:ascii="仿宋" w:hAnsi="仿宋" w:eastAsia="仿宋"/>
          <w:color w:val="auto"/>
          <w:sz w:val="24"/>
        </w:rPr>
        <w:t>”</w:t>
      </w:r>
      <w:r>
        <w:rPr>
          <w:rFonts w:hint="eastAsia" w:ascii="仿宋" w:hAnsi="仿宋" w:eastAsia="仿宋"/>
          <w:color w:val="auto"/>
          <w:sz w:val="24"/>
        </w:rPr>
        <w:t>)于</w:t>
      </w:r>
      <w:r>
        <w:rPr>
          <w:rFonts w:ascii="仿宋" w:hAnsi="仿宋" w:eastAsia="仿宋"/>
          <w:color w:val="auto"/>
          <w:sz w:val="24"/>
          <w:u w:val="single"/>
        </w:rPr>
        <w:t xml:space="preserve">    </w:t>
      </w:r>
      <w:r>
        <w:rPr>
          <w:rFonts w:hint="eastAsia" w:ascii="仿宋" w:hAnsi="仿宋" w:eastAsia="仿宋"/>
          <w:color w:val="auto"/>
          <w:sz w:val="24"/>
        </w:rPr>
        <w:t>年</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月</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日签订的《债权转让协议》，</w:t>
      </w:r>
      <w:r>
        <w:rPr>
          <w:rFonts w:ascii="仿宋" w:hAnsi="仿宋" w:eastAsia="仿宋"/>
          <w:color w:val="auto"/>
          <w:sz w:val="24"/>
        </w:rPr>
        <w:t>“</w:t>
      </w:r>
      <w:r>
        <w:rPr>
          <w:rFonts w:hint="eastAsia" w:ascii="仿宋" w:hAnsi="仿宋" w:eastAsia="仿宋"/>
          <w:color w:val="auto"/>
          <w:sz w:val="24"/>
        </w:rPr>
        <w:t>转让方</w:t>
      </w:r>
      <w:r>
        <w:rPr>
          <w:rFonts w:ascii="仿宋" w:hAnsi="仿宋" w:eastAsia="仿宋"/>
          <w:color w:val="auto"/>
          <w:sz w:val="24"/>
        </w:rPr>
        <w:t>”</w:t>
      </w:r>
      <w:r>
        <w:rPr>
          <w:rFonts w:hint="eastAsia" w:ascii="仿宋" w:hAnsi="仿宋" w:eastAsia="仿宋"/>
          <w:color w:val="auto"/>
          <w:sz w:val="24"/>
        </w:rPr>
        <w:t>已经将其对山东省富泰新型建材有限公司等2户享有的下表贷款债权项下的本息等主从债权，于</w:t>
      </w:r>
      <w:r>
        <w:rPr>
          <w:rFonts w:ascii="仿宋" w:hAnsi="仿宋" w:eastAsia="仿宋"/>
          <w:color w:val="auto"/>
          <w:sz w:val="24"/>
          <w:u w:val="single"/>
        </w:rPr>
        <w:t xml:space="preserve">    </w:t>
      </w:r>
      <w:r>
        <w:rPr>
          <w:rFonts w:hint="eastAsia" w:ascii="仿宋" w:hAnsi="仿宋" w:eastAsia="仿宋"/>
          <w:color w:val="auto"/>
          <w:sz w:val="24"/>
        </w:rPr>
        <w:t>年</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月</w:t>
      </w:r>
      <w:r>
        <w:rPr>
          <w:rFonts w:hint="eastAsia" w:ascii="仿宋" w:hAnsi="仿宋" w:eastAsia="仿宋"/>
          <w:color w:val="auto"/>
          <w:sz w:val="24"/>
          <w:u w:val="single"/>
        </w:rPr>
        <w:t xml:space="preserve">   </w:t>
      </w:r>
      <w:r>
        <w:rPr>
          <w:rFonts w:hint="eastAsia" w:ascii="仿宋" w:hAnsi="仿宋" w:eastAsia="仿宋"/>
          <w:color w:val="auto"/>
          <w:sz w:val="24"/>
        </w:rPr>
        <w:t>日依法转让给</w:t>
      </w:r>
      <w:r>
        <w:rPr>
          <w:rFonts w:ascii="仿宋" w:hAnsi="仿宋" w:eastAsia="仿宋"/>
          <w:color w:val="auto"/>
          <w:sz w:val="24"/>
        </w:rPr>
        <w:t>“</w:t>
      </w:r>
      <w:r>
        <w:rPr>
          <w:rFonts w:hint="eastAsia" w:ascii="仿宋" w:hAnsi="仿宋" w:eastAsia="仿宋"/>
          <w:color w:val="auto"/>
          <w:sz w:val="24"/>
        </w:rPr>
        <w:t>受让方</w:t>
      </w:r>
      <w:r>
        <w:rPr>
          <w:rFonts w:ascii="仿宋" w:hAnsi="仿宋" w:eastAsia="仿宋"/>
          <w:color w:val="auto"/>
          <w:sz w:val="24"/>
        </w:rPr>
        <w:t>”</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转让方</w:t>
      </w:r>
      <w:r>
        <w:rPr>
          <w:rFonts w:ascii="仿宋" w:hAnsi="仿宋" w:eastAsia="仿宋"/>
          <w:color w:val="auto"/>
          <w:sz w:val="24"/>
        </w:rPr>
        <w:t>”</w:t>
      </w:r>
      <w:r>
        <w:rPr>
          <w:rFonts w:hint="eastAsia" w:ascii="仿宋" w:hAnsi="仿宋" w:eastAsia="仿宋"/>
          <w:color w:val="auto"/>
          <w:sz w:val="24"/>
        </w:rPr>
        <w:t>特此确认该等贷款债权已向</w:t>
      </w:r>
      <w:r>
        <w:rPr>
          <w:rFonts w:ascii="仿宋" w:hAnsi="仿宋" w:eastAsia="仿宋"/>
          <w:color w:val="auto"/>
          <w:sz w:val="24"/>
        </w:rPr>
        <w:t>“</w:t>
      </w:r>
      <w:r>
        <w:rPr>
          <w:rFonts w:hint="eastAsia" w:ascii="仿宋" w:hAnsi="仿宋" w:eastAsia="仿宋"/>
          <w:color w:val="auto"/>
          <w:sz w:val="24"/>
        </w:rPr>
        <w:t>受让方</w:t>
      </w:r>
      <w:r>
        <w:rPr>
          <w:rFonts w:ascii="仿宋" w:hAnsi="仿宋" w:eastAsia="仿宋"/>
          <w:color w:val="auto"/>
          <w:sz w:val="24"/>
        </w:rPr>
        <w:t>”</w:t>
      </w:r>
      <w:r>
        <w:rPr>
          <w:rFonts w:hint="eastAsia" w:ascii="仿宋" w:hAnsi="仿宋" w:eastAsia="仿宋"/>
          <w:color w:val="auto"/>
          <w:sz w:val="24"/>
        </w:rPr>
        <w:t>转让的事实。“受让方”已按《债权转让协议》约定足额支付完毕转让价款，已完全取得附表列示的贷款债权，“转让方”对债务人已实施诉讼（含仲裁）、执行追偿的相关权利“受让方”有权依法承继，对“受让方”依照相关规定向受案法院（含仲裁）申请变更诉讼（含仲裁）、执行主体的行为“转让方”予以认可。</w:t>
      </w:r>
    </w:p>
    <w:p>
      <w:pPr>
        <w:keepNext w:val="0"/>
        <w:keepLines w:val="0"/>
        <w:pageBreakBefore w:val="0"/>
        <w:widowControl w:val="0"/>
        <w:kinsoku/>
        <w:wordWrap/>
        <w:overflowPunct/>
        <w:topLinePunct w:val="0"/>
        <w:autoSpaceDE/>
        <w:autoSpaceDN/>
        <w:bidi w:val="0"/>
        <w:adjustRightInd/>
        <w:snapToGrid/>
        <w:spacing w:line="480" w:lineRule="exact"/>
        <w:ind w:firstLine="720" w:firstLineChars="300"/>
        <w:jc w:val="right"/>
        <w:textAlignment w:val="auto"/>
        <w:rPr>
          <w:rFonts w:ascii="仿宋" w:hAnsi="仿宋" w:eastAsia="仿宋"/>
          <w:color w:val="auto"/>
          <w:sz w:val="24"/>
        </w:rPr>
      </w:pPr>
      <w:r>
        <w:rPr>
          <w:rFonts w:hint="eastAsia" w:ascii="仿宋" w:hAnsi="仿宋" w:eastAsia="仿宋"/>
          <w:color w:val="auto"/>
          <w:sz w:val="24"/>
        </w:rPr>
        <w:t>单位：元</w:t>
      </w:r>
    </w:p>
    <w:tbl>
      <w:tblPr>
        <w:tblStyle w:val="5"/>
        <w:tblW w:w="840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977"/>
        <w:gridCol w:w="2299"/>
        <w:gridCol w:w="1352"/>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1" w:type="dxa"/>
            <w:shd w:val="clear" w:color="000000" w:fill="FFFFFF"/>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kern w:val="0"/>
                <w:sz w:val="18"/>
                <w:szCs w:val="18"/>
              </w:rPr>
              <w:t>序号</w:t>
            </w:r>
          </w:p>
        </w:tc>
        <w:tc>
          <w:tcPr>
            <w:tcW w:w="977" w:type="dxa"/>
            <w:shd w:val="clear" w:color="000000" w:fill="FFFFFF"/>
            <w:vAlign w:val="center"/>
          </w:tcPr>
          <w:p>
            <w:pPr>
              <w:widowControl/>
              <w:jc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债务人</w:t>
            </w:r>
          </w:p>
        </w:tc>
        <w:tc>
          <w:tcPr>
            <w:tcW w:w="2299" w:type="dxa"/>
            <w:shd w:val="clear" w:color="000000" w:fill="FFFFFF"/>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kern w:val="0"/>
                <w:sz w:val="18"/>
                <w:szCs w:val="18"/>
              </w:rPr>
              <w:t>借款合同号</w:t>
            </w:r>
          </w:p>
        </w:tc>
        <w:tc>
          <w:tcPr>
            <w:tcW w:w="1352" w:type="dxa"/>
            <w:shd w:val="clear" w:color="000000" w:fill="FFFFFF"/>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kern w:val="0"/>
                <w:sz w:val="18"/>
                <w:szCs w:val="18"/>
              </w:rPr>
              <w:t>借款本金余额</w:t>
            </w:r>
          </w:p>
        </w:tc>
        <w:tc>
          <w:tcPr>
            <w:tcW w:w="3249" w:type="dxa"/>
            <w:shd w:val="clear" w:color="000000" w:fill="FFFFFF"/>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kern w:val="0"/>
                <w:sz w:val="18"/>
                <w:szCs w:val="18"/>
              </w:rPr>
              <w:t>担保人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31" w:type="dxa"/>
            <w:vMerge w:val="restart"/>
            <w:shd w:val="clear" w:color="000000" w:fill="FFFFFF"/>
            <w:noWrap/>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kern w:val="0"/>
                <w:sz w:val="18"/>
                <w:szCs w:val="18"/>
              </w:rPr>
              <w:t>1</w:t>
            </w:r>
          </w:p>
        </w:tc>
        <w:tc>
          <w:tcPr>
            <w:tcW w:w="977" w:type="dxa"/>
            <w:vMerge w:val="restart"/>
            <w:shd w:val="clear" w:color="000000" w:fill="FFFFFF"/>
            <w:noWrap/>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山东省富泰新型建材有限公司</w:t>
            </w:r>
          </w:p>
        </w:tc>
        <w:tc>
          <w:tcPr>
            <w:tcW w:w="2299"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0161300023-2016年(博兴)字00133号</w:t>
            </w:r>
          </w:p>
        </w:tc>
        <w:tc>
          <w:tcPr>
            <w:tcW w:w="1352"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10000000.00</w:t>
            </w:r>
          </w:p>
        </w:tc>
        <w:tc>
          <w:tcPr>
            <w:tcW w:w="3249" w:type="dxa"/>
            <w:shd w:val="clear" w:color="000000" w:fill="FFFFFF"/>
            <w:noWrap/>
            <w:vAlign w:val="center"/>
          </w:tcPr>
          <w:p>
            <w:pPr>
              <w:widowControl/>
              <w:jc w:val="left"/>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刘乐宝和高炳香夫妻、高炳成和李俊英夫妻、王德生和李俊兰夫妻、李俊宗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1"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977"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2299"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0161300023-2016年(博兴)字00364号</w:t>
            </w:r>
          </w:p>
        </w:tc>
        <w:tc>
          <w:tcPr>
            <w:tcW w:w="1352"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10000000.00</w:t>
            </w:r>
          </w:p>
        </w:tc>
        <w:tc>
          <w:tcPr>
            <w:tcW w:w="3249" w:type="dxa"/>
            <w:vMerge w:val="restart"/>
            <w:shd w:val="clear" w:color="000000" w:fill="FFFFFF"/>
            <w:noWrap/>
            <w:vAlign w:val="center"/>
          </w:tcPr>
          <w:p>
            <w:pPr>
              <w:widowControl/>
              <w:jc w:val="left"/>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山东隆发钢板有限公司、刘乐宝和高炳香夫妻、高炳成和李俊英夫妻、王德生和李俊兰夫妻、魏龙居和马继秀夫妻、郭永涛、李俊宗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1"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977"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2299"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0161300023-2016年(博兴)字00380号</w:t>
            </w:r>
          </w:p>
        </w:tc>
        <w:tc>
          <w:tcPr>
            <w:tcW w:w="1352"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10000000.00</w:t>
            </w:r>
          </w:p>
        </w:tc>
        <w:tc>
          <w:tcPr>
            <w:tcW w:w="3249" w:type="dxa"/>
            <w:vMerge w:val="continue"/>
            <w:shd w:val="clear" w:color="000000" w:fill="FFFFFF"/>
            <w:noWrap/>
            <w:vAlign w:val="center"/>
          </w:tcPr>
          <w:p>
            <w:pPr>
              <w:widowControl/>
              <w:jc w:val="left"/>
              <w:rPr>
                <w:rFonts w:hint="eastAsia" w:ascii="宋体" w:hAnsi="宋体" w:eastAsia="宋体" w:cs="宋体"/>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1"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977"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2299"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0161300023-2016年(博兴)字00602号</w:t>
            </w:r>
          </w:p>
        </w:tc>
        <w:tc>
          <w:tcPr>
            <w:tcW w:w="1352" w:type="dxa"/>
            <w:shd w:val="clear" w:color="000000" w:fill="FFFFFF"/>
            <w:noWrap/>
            <w:vAlign w:val="center"/>
          </w:tcPr>
          <w:p>
            <w:pPr>
              <w:spacing w:line="0" w:lineRule="atLeast"/>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14810000.00</w:t>
            </w:r>
          </w:p>
        </w:tc>
        <w:tc>
          <w:tcPr>
            <w:tcW w:w="3249" w:type="dxa"/>
            <w:shd w:val="clear" w:color="000000" w:fill="FFFFFF"/>
            <w:noWrap/>
            <w:vAlign w:val="center"/>
          </w:tcPr>
          <w:p>
            <w:pPr>
              <w:widowControl/>
              <w:jc w:val="left"/>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sz w:val="18"/>
                <w:szCs w:val="18"/>
              </w:rPr>
              <w:t>山东隆发钢板有限公司、李俊宗、高炳成和李俊英夫妻、魏龙居和马继秀夫妻、郭永涛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1" w:type="dxa"/>
            <w:vMerge w:val="restart"/>
            <w:shd w:val="clear" w:color="000000" w:fill="FFFFFF"/>
            <w:noWrap/>
            <w:vAlign w:val="center"/>
          </w:tcPr>
          <w:p>
            <w:pPr>
              <w:widowControl/>
              <w:jc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2</w:t>
            </w:r>
          </w:p>
        </w:tc>
        <w:tc>
          <w:tcPr>
            <w:tcW w:w="977" w:type="dxa"/>
            <w:vMerge w:val="restart"/>
            <w:shd w:val="clear" w:color="000000" w:fill="FFFFFF"/>
            <w:noWrap/>
            <w:vAlign w:val="center"/>
          </w:tcPr>
          <w:p>
            <w:pPr>
              <w:widowControl/>
              <w:jc w:val="center"/>
              <w:rPr>
                <w:rFonts w:hint="eastAsia" w:ascii="宋体" w:hAnsi="宋体" w:eastAsia="宋体" w:cs="宋体"/>
                <w:b w:val="0"/>
                <w:bCs w:val="0"/>
                <w:color w:val="auto"/>
                <w:kern w:val="0"/>
                <w:sz w:val="18"/>
                <w:szCs w:val="18"/>
              </w:rPr>
            </w:pPr>
            <w:r>
              <w:rPr>
                <w:rFonts w:hint="eastAsia" w:ascii="宋体" w:hAnsi="宋体" w:eastAsia="宋体" w:cs="宋体"/>
                <w:b w:val="0"/>
                <w:bCs w:val="0"/>
                <w:color w:val="auto"/>
                <w:kern w:val="0"/>
                <w:sz w:val="18"/>
                <w:szCs w:val="18"/>
              </w:rPr>
              <w:t>山东百汇工业科技有限公司</w:t>
            </w:r>
          </w:p>
        </w:tc>
        <w:tc>
          <w:tcPr>
            <w:tcW w:w="2299" w:type="dxa"/>
            <w:shd w:val="clear" w:color="000000" w:fill="FFFFFF"/>
            <w:noWrap/>
            <w:vAlign w:val="center"/>
          </w:tcPr>
          <w:p>
            <w:pPr>
              <w:spacing w:line="0" w:lineRule="atLeast"/>
              <w:jc w:val="center"/>
              <w:rPr>
                <w:rFonts w:hint="eastAsia" w:ascii="宋体" w:hAnsi="宋体" w:eastAsia="宋体" w:cs="宋体"/>
                <w:b w:val="0"/>
                <w:bCs w:val="0"/>
                <w:color w:val="auto"/>
                <w:sz w:val="18"/>
                <w:szCs w:val="18"/>
              </w:rPr>
            </w:pPr>
            <w:r>
              <w:rPr>
                <w:rFonts w:hint="eastAsia" w:ascii="宋体" w:hAnsi="宋体" w:eastAsia="宋体" w:cs="宋体"/>
                <w:b w:val="0"/>
                <w:bCs w:val="0"/>
                <w:i w:val="0"/>
                <w:color w:val="auto"/>
                <w:kern w:val="0"/>
                <w:sz w:val="18"/>
                <w:szCs w:val="18"/>
                <w:u w:val="none"/>
                <w:lang w:val="en-US" w:eastAsia="zh-CN" w:bidi="ar"/>
              </w:rPr>
              <w:t>0161300027-2014年(邹平)字0565号借款合同</w:t>
            </w:r>
          </w:p>
        </w:tc>
        <w:tc>
          <w:tcPr>
            <w:tcW w:w="1352" w:type="dxa"/>
            <w:shd w:val="clear" w:color="000000" w:fill="FFFFFF"/>
            <w:noWrap/>
            <w:vAlign w:val="center"/>
          </w:tcPr>
          <w:p>
            <w:pPr>
              <w:spacing w:line="0" w:lineRule="atLeas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3,999,954.26</w:t>
            </w:r>
          </w:p>
        </w:tc>
        <w:tc>
          <w:tcPr>
            <w:tcW w:w="3249" w:type="dxa"/>
            <w:vMerge w:val="restart"/>
            <w:shd w:val="clear" w:color="000000" w:fill="FFFFFF"/>
            <w:noWrap/>
            <w:vAlign w:val="center"/>
          </w:tcPr>
          <w:p>
            <w:pPr>
              <w:widowControl/>
              <w:jc w:val="left"/>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山东众普新能源有限公司、邹平宏达建筑安装工程有限公司、杨建章、李新华、韩会云、颜世森、耿晓霞、韩强、鲁会芳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1"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lang w:val="en-US" w:eastAsia="zh-CN"/>
              </w:rPr>
            </w:pPr>
          </w:p>
        </w:tc>
        <w:tc>
          <w:tcPr>
            <w:tcW w:w="977" w:type="dxa"/>
            <w:vMerge w:val="continue"/>
            <w:shd w:val="clear" w:color="000000" w:fill="FFFFFF"/>
            <w:noWrap/>
            <w:vAlign w:val="center"/>
          </w:tcPr>
          <w:p>
            <w:pPr>
              <w:widowControl/>
              <w:jc w:val="center"/>
              <w:rPr>
                <w:rFonts w:hint="eastAsia" w:ascii="宋体" w:hAnsi="宋体" w:eastAsia="宋体" w:cs="宋体"/>
                <w:b w:val="0"/>
                <w:bCs w:val="0"/>
                <w:color w:val="auto"/>
                <w:kern w:val="0"/>
                <w:sz w:val="18"/>
                <w:szCs w:val="18"/>
              </w:rPr>
            </w:pPr>
          </w:p>
        </w:tc>
        <w:tc>
          <w:tcPr>
            <w:tcW w:w="2299" w:type="dxa"/>
            <w:shd w:val="clear" w:color="000000" w:fill="FFFFFF"/>
            <w:noWrap/>
            <w:vAlign w:val="center"/>
          </w:tcPr>
          <w:p>
            <w:pPr>
              <w:spacing w:line="0" w:lineRule="atLeast"/>
              <w:jc w:val="center"/>
              <w:rPr>
                <w:rFonts w:hint="eastAsia" w:ascii="宋体" w:hAnsi="宋体" w:eastAsia="宋体" w:cs="宋体"/>
                <w:b w:val="0"/>
                <w:bCs w:val="0"/>
                <w:color w:val="auto"/>
                <w:sz w:val="18"/>
                <w:szCs w:val="18"/>
              </w:rPr>
            </w:pPr>
            <w:r>
              <w:rPr>
                <w:rFonts w:hint="eastAsia" w:ascii="宋体" w:hAnsi="宋体" w:eastAsia="宋体" w:cs="宋体"/>
                <w:b w:val="0"/>
                <w:bCs w:val="0"/>
                <w:i w:val="0"/>
                <w:color w:val="auto"/>
                <w:kern w:val="0"/>
                <w:sz w:val="18"/>
                <w:szCs w:val="18"/>
                <w:u w:val="none"/>
                <w:lang w:val="en-US" w:eastAsia="zh-CN" w:bidi="ar"/>
              </w:rPr>
              <w:t>0161300027-2014年(邹平)字0605号借款合同</w:t>
            </w:r>
          </w:p>
        </w:tc>
        <w:tc>
          <w:tcPr>
            <w:tcW w:w="1352" w:type="dxa"/>
            <w:shd w:val="clear" w:color="000000" w:fill="FFFFFF"/>
            <w:noWrap/>
            <w:vAlign w:val="center"/>
          </w:tcPr>
          <w:p>
            <w:pPr>
              <w:spacing w:line="0" w:lineRule="atLeas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3,000,000.00</w:t>
            </w:r>
          </w:p>
        </w:tc>
        <w:tc>
          <w:tcPr>
            <w:tcW w:w="3249" w:type="dxa"/>
            <w:vMerge w:val="continue"/>
            <w:shd w:val="clear" w:color="000000" w:fill="FFFFFF"/>
            <w:noWrap/>
            <w:vAlign w:val="center"/>
          </w:tcPr>
          <w:p>
            <w:pPr>
              <w:widowControl/>
              <w:jc w:val="left"/>
              <w:rPr>
                <w:rFonts w:hint="eastAsia" w:ascii="宋体" w:hAnsi="宋体" w:eastAsia="宋体" w:cs="宋体"/>
                <w:b w:val="0"/>
                <w:bCs w:val="0"/>
                <w:color w:val="auto"/>
                <w:sz w:val="18"/>
                <w:szCs w:val="18"/>
              </w:rPr>
            </w:pPr>
          </w:p>
        </w:tc>
      </w:tr>
    </w:tbl>
    <w:p>
      <w:pPr>
        <w:spacing w:line="500" w:lineRule="exact"/>
        <w:rPr>
          <w:rFonts w:ascii="仿宋" w:hAnsi="仿宋" w:eastAsia="仿宋"/>
          <w:color w:val="auto"/>
          <w:sz w:val="24"/>
        </w:rPr>
      </w:pPr>
    </w:p>
    <w:p>
      <w:pPr>
        <w:rPr>
          <w:color w:val="auto"/>
        </w:rPr>
      </w:pPr>
    </w:p>
    <w:p>
      <w:pPr>
        <w:ind w:firstLine="2640" w:firstLineChars="1100"/>
        <w:rPr>
          <w:rFonts w:ascii="仿宋" w:hAnsi="仿宋" w:eastAsia="仿宋"/>
          <w:color w:val="auto"/>
        </w:rPr>
      </w:pPr>
      <w:r>
        <w:rPr>
          <w:rFonts w:hint="eastAsia" w:ascii="仿宋" w:hAnsi="仿宋" w:eastAsia="仿宋"/>
          <w:color w:val="auto"/>
          <w:sz w:val="24"/>
        </w:rPr>
        <w:t>中国长城资产管理股份有限公司山东省分公司（盖章）</w:t>
      </w:r>
      <w:r>
        <w:rPr>
          <w:rFonts w:hint="eastAsia" w:ascii="仿宋" w:hAnsi="仿宋" w:eastAsia="仿宋"/>
          <w:color w:val="auto"/>
        </w:rPr>
        <w:t xml:space="preserve">                                       </w:t>
      </w:r>
    </w:p>
    <w:p>
      <w:pPr>
        <w:rPr>
          <w:rFonts w:ascii="仿宋" w:hAnsi="仿宋" w:eastAsia="仿宋"/>
          <w:color w:val="auto"/>
        </w:rPr>
      </w:pPr>
      <w:r>
        <w:rPr>
          <w:rFonts w:hint="eastAsia" w:ascii="仿宋" w:hAnsi="仿宋" w:eastAsia="仿宋"/>
          <w:color w:val="auto"/>
        </w:rPr>
        <w:t xml:space="preserve"> </w:t>
      </w:r>
    </w:p>
    <w:p>
      <w:pPr>
        <w:ind w:firstLine="5280" w:firstLineChars="2200"/>
        <w:rPr>
          <w:rFonts w:ascii="仿宋" w:hAnsi="仿宋" w:eastAsia="仿宋"/>
          <w:color w:val="auto"/>
          <w:sz w:val="24"/>
        </w:rPr>
      </w:pPr>
      <w:r>
        <w:rPr>
          <w:rFonts w:hint="eastAsia" w:ascii="仿宋" w:hAnsi="仿宋" w:eastAsia="仿宋"/>
          <w:color w:val="auto"/>
          <w:sz w:val="24"/>
        </w:rPr>
        <w:t xml:space="preserve">年   月     日 </w:t>
      </w:r>
    </w:p>
    <w:p/>
    <w:p>
      <w:pPr>
        <w:ind w:firstLine="2319" w:firstLineChars="1100"/>
        <w:rPr>
          <w:b/>
        </w:rPr>
      </w:pPr>
      <w:r>
        <w:rPr>
          <w:rFonts w:hint="eastAsia"/>
          <w:b/>
        </w:rPr>
        <w:t>附件</w:t>
      </w:r>
      <w:r>
        <w:rPr>
          <w:rFonts w:hint="eastAsia"/>
          <w:b/>
          <w:lang w:val="en-US" w:eastAsia="zh-CN"/>
        </w:rPr>
        <w:t>7</w:t>
      </w:r>
      <w:r>
        <w:rPr>
          <w:rFonts w:hint="eastAsia"/>
          <w:b/>
        </w:rPr>
        <w:t>：协议条款说明记录单</w:t>
      </w:r>
    </w:p>
    <w:p>
      <w:pPr>
        <w:spacing w:line="360" w:lineRule="auto"/>
        <w:jc w:val="center"/>
        <w:rPr>
          <w:rFonts w:ascii="仿宋_GB2312" w:eastAsia="仿宋_GB2312"/>
          <w:color w:val="000000"/>
          <w:sz w:val="24"/>
        </w:rPr>
      </w:pPr>
    </w:p>
    <w:p>
      <w:pPr>
        <w:wordWrap w:val="0"/>
        <w:jc w:val="right"/>
        <w:rPr>
          <w:rFonts w:ascii="仿宋_GB2312" w:eastAsia="仿宋_GB2312"/>
          <w:color w:val="000000"/>
          <w:sz w:val="24"/>
        </w:rPr>
      </w:pPr>
      <w:r>
        <w:rPr>
          <w:rFonts w:hint="eastAsia" w:ascii="仿宋_GB2312" w:eastAsia="仿宋_GB2312"/>
          <w:color w:val="000000"/>
          <w:sz w:val="24"/>
        </w:rPr>
        <w:t xml:space="preserve"> </w:t>
      </w:r>
    </w:p>
    <w:p>
      <w:pPr>
        <w:spacing w:line="360" w:lineRule="auto"/>
        <w:ind w:firstLine="573"/>
        <w:rPr>
          <w:rFonts w:ascii="仿宋_GB2312" w:eastAsia="仿宋_GB2312"/>
          <w:color w:val="000000"/>
          <w:sz w:val="24"/>
        </w:rPr>
      </w:pPr>
      <w:r>
        <w:rPr>
          <w:rFonts w:hint="eastAsia" w:ascii="仿宋_GB2312" w:eastAsia="仿宋_GB2312"/>
          <w:color w:val="000000"/>
          <w:sz w:val="24"/>
        </w:rPr>
        <w:t xml:space="preserve"> 甲方对协议的主要条款，特别是免除或限制甲方责任的黑体部分向乙方进行了提示，提请乙方予以关注，乙方已认真阅读了债权转让协议的全部条款，对包括黑体条款在内的协议全部内容有如下问题需要甲方进行解释说明：</w:t>
      </w:r>
    </w:p>
    <w:p>
      <w:pPr>
        <w:spacing w:line="360" w:lineRule="auto"/>
        <w:ind w:firstLine="573"/>
        <w:rPr>
          <w:rFonts w:ascii="仿宋_GB2312" w:eastAsia="仿宋_GB2312"/>
          <w:color w:val="000000"/>
          <w:sz w:val="24"/>
        </w:rPr>
      </w:pPr>
      <w:r>
        <w:rPr>
          <w:rFonts w:hint="eastAsia" w:ascii="仿宋_GB2312" w:eastAsia="仿宋_GB2312"/>
          <w:color w:val="000000"/>
          <w:sz w:val="24"/>
        </w:rPr>
        <w:t>无。</w:t>
      </w:r>
    </w:p>
    <w:p>
      <w:pPr>
        <w:spacing w:line="360" w:lineRule="auto"/>
        <w:ind w:firstLine="573"/>
        <w:rPr>
          <w:rFonts w:ascii="仿宋_GB2312" w:eastAsia="仿宋_GB2312"/>
          <w:color w:val="000000"/>
          <w:sz w:val="24"/>
        </w:rPr>
      </w:pPr>
    </w:p>
    <w:p>
      <w:pPr>
        <w:spacing w:line="360" w:lineRule="auto"/>
        <w:ind w:firstLine="573"/>
        <w:rPr>
          <w:rFonts w:ascii="仿宋_GB2312" w:eastAsia="仿宋_GB2312"/>
          <w:color w:val="000000"/>
          <w:sz w:val="24"/>
        </w:rPr>
      </w:pPr>
      <w:r>
        <w:rPr>
          <w:rFonts w:hint="eastAsia" w:ascii="仿宋_GB2312" w:eastAsia="仿宋_GB2312"/>
          <w:color w:val="000000"/>
          <w:sz w:val="24"/>
        </w:rPr>
        <w:t>甲方应乙方要求，对以上问题进行了解释说明，在此基础上，乙方确认已知悉并全面理解协议条款尤其是黑体部分的确切含义并予以接受。</w:t>
      </w:r>
    </w:p>
    <w:p>
      <w:pPr>
        <w:spacing w:line="380" w:lineRule="atLeast"/>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甲方：中国长城资产管理股份有限公司山东省分公司（盖章）</w:t>
      </w: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w:t>
      </w:r>
      <w:r>
        <w:rPr>
          <w:rFonts w:hint="eastAsia" w:eastAsia="仿宋_GB2312"/>
          <w:b/>
          <w:bCs/>
          <w:sz w:val="24"/>
          <w:u w:val="single"/>
        </w:rPr>
        <w:t xml:space="preserve"> </w:t>
      </w:r>
      <w:r>
        <w:rPr>
          <w:rFonts w:eastAsia="仿宋_GB2312"/>
          <w:b/>
          <w:bCs/>
          <w:sz w:val="24"/>
          <w:u w:val="single"/>
        </w:rPr>
        <w:t xml:space="preserve">                       </w:t>
      </w:r>
      <w:r>
        <w:rPr>
          <w:rFonts w:ascii="仿宋_GB2312" w:eastAsia="仿宋_GB2312"/>
          <w:b/>
          <w:color w:val="000000"/>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6965"/>
    <w:multiLevelType w:val="multilevel"/>
    <w:tmpl w:val="4DA16965"/>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57824"/>
    <w:rsid w:val="0175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2020-12-22T04:31:00Z</dcterms:created>
  <dc:creator>hongl</dc:creator>
  <cp:lastModifiedBy>hongl</cp:lastModifiedBy>
  <dcterms:modified xsi:type="dcterms:W3CDTF">2020-12-22T04:32:13Z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