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723" w:firstLineChars="200"/>
        <w:jc w:val="center"/>
        <w:rPr>
          <w:rFonts w:hint="eastAsia" w:ascii="仿宋" w:hAnsi="仿宋" w:eastAsia="仿宋"/>
          <w:b/>
          <w:bCs/>
          <w:color w:val="000000"/>
          <w:sz w:val="36"/>
          <w:szCs w:val="36"/>
          <w:lang w:eastAsia="zh-CN"/>
        </w:rPr>
      </w:pPr>
      <w:r>
        <w:rPr>
          <w:rFonts w:hint="eastAsia" w:ascii="仿宋" w:hAnsi="仿宋" w:eastAsia="仿宋"/>
          <w:b/>
          <w:bCs/>
          <w:color w:val="000000"/>
          <w:sz w:val="36"/>
          <w:szCs w:val="36"/>
          <w:lang w:eastAsia="zh-CN"/>
        </w:rPr>
        <w:t>竞</w:t>
      </w:r>
      <w:r>
        <w:rPr>
          <w:rFonts w:hint="eastAsia" w:ascii="仿宋" w:hAnsi="仿宋" w:eastAsia="仿宋"/>
          <w:b/>
          <w:bCs/>
          <w:color w:val="000000"/>
          <w:sz w:val="36"/>
          <w:szCs w:val="36"/>
          <w:lang w:val="en-US" w:eastAsia="zh-CN"/>
        </w:rPr>
        <w:t xml:space="preserve"> </w:t>
      </w:r>
      <w:r>
        <w:rPr>
          <w:rFonts w:hint="eastAsia" w:ascii="仿宋" w:hAnsi="仿宋" w:eastAsia="仿宋"/>
          <w:b/>
          <w:bCs/>
          <w:color w:val="000000"/>
          <w:sz w:val="36"/>
          <w:szCs w:val="36"/>
          <w:lang w:eastAsia="zh-CN"/>
        </w:rPr>
        <w:t>买</w:t>
      </w:r>
      <w:r>
        <w:rPr>
          <w:rFonts w:hint="eastAsia" w:ascii="仿宋" w:hAnsi="仿宋" w:eastAsia="仿宋"/>
          <w:b/>
          <w:bCs/>
          <w:color w:val="000000"/>
          <w:sz w:val="36"/>
          <w:szCs w:val="36"/>
          <w:lang w:val="en-US" w:eastAsia="zh-CN"/>
        </w:rPr>
        <w:t xml:space="preserve"> </w:t>
      </w:r>
      <w:r>
        <w:rPr>
          <w:rFonts w:hint="eastAsia" w:ascii="仿宋" w:hAnsi="仿宋" w:eastAsia="仿宋"/>
          <w:b/>
          <w:bCs/>
          <w:color w:val="000000"/>
          <w:sz w:val="36"/>
          <w:szCs w:val="36"/>
          <w:lang w:eastAsia="zh-CN"/>
        </w:rPr>
        <w:t>须</w:t>
      </w:r>
      <w:r>
        <w:rPr>
          <w:rFonts w:hint="eastAsia" w:ascii="仿宋" w:hAnsi="仿宋" w:eastAsia="仿宋"/>
          <w:b/>
          <w:bCs/>
          <w:color w:val="000000"/>
          <w:sz w:val="36"/>
          <w:szCs w:val="36"/>
          <w:lang w:val="en-US" w:eastAsia="zh-CN"/>
        </w:rPr>
        <w:t xml:space="preserve"> </w:t>
      </w:r>
      <w:r>
        <w:rPr>
          <w:rFonts w:hint="eastAsia" w:ascii="仿宋" w:hAnsi="仿宋" w:eastAsia="仿宋"/>
          <w:b/>
          <w:bCs/>
          <w:color w:val="000000"/>
          <w:sz w:val="36"/>
          <w:szCs w:val="36"/>
          <w:lang w:eastAsia="zh-CN"/>
        </w:rPr>
        <w:t>知</w:t>
      </w:r>
    </w:p>
    <w:p>
      <w:pPr>
        <w:spacing w:line="3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本公司遵循“公开、公平、公正、诚实信用”的原则，依法对委托标的物进行公开拍卖，为规范拍卖行为，维护拍卖秩序，保障拍卖活动中各方当事人的合法权益，依据《中华人</w:t>
      </w:r>
      <w:bookmarkStart w:id="0" w:name="_GoBack"/>
      <w:bookmarkEnd w:id="0"/>
      <w:r>
        <w:rPr>
          <w:rFonts w:hint="eastAsia" w:ascii="仿宋" w:hAnsi="仿宋" w:eastAsia="仿宋"/>
          <w:color w:val="000000"/>
          <w:sz w:val="28"/>
          <w:szCs w:val="28"/>
        </w:rPr>
        <w:t>民共和国拍卖法》特制定本须知：</w:t>
      </w:r>
    </w:p>
    <w:p>
      <w:pPr>
        <w:spacing w:line="360" w:lineRule="exact"/>
        <w:ind w:firstLine="560" w:firstLineChars="200"/>
        <w:rPr>
          <w:rFonts w:hint="eastAsia" w:ascii="宋体" w:hAnsi="宋体" w:eastAsia="宋体" w:cs="宋体"/>
          <w:b/>
          <w:bCs/>
          <w:i w:val="0"/>
          <w:caps w:val="0"/>
          <w:color w:val="333333"/>
          <w:spacing w:val="0"/>
          <w:kern w:val="0"/>
          <w:sz w:val="24"/>
          <w:szCs w:val="24"/>
          <w:u w:val="single"/>
          <w:shd w:val="clear" w:color="auto" w:fill="FFFFFF"/>
          <w:lang w:val="en-US" w:eastAsia="zh-CN" w:bidi="ar"/>
        </w:rPr>
      </w:pPr>
      <w:r>
        <w:rPr>
          <w:rFonts w:hint="eastAsia" w:ascii="仿宋" w:hAnsi="仿宋" w:eastAsia="仿宋"/>
          <w:color w:val="000000"/>
          <w:sz w:val="28"/>
          <w:szCs w:val="28"/>
          <w:lang w:eastAsia="zh-CN"/>
        </w:rPr>
        <w:t>拍卖标的：</w:t>
      </w:r>
      <w:r>
        <w:rPr>
          <w:rFonts w:hint="eastAsia" w:ascii="仿宋" w:hAnsi="仿宋" w:eastAsia="仿宋" w:cs="Times New Roman"/>
          <w:b w:val="0"/>
          <w:bCs w:val="0"/>
          <w:i w:val="0"/>
          <w:caps w:val="0"/>
          <w:color w:val="333333"/>
          <w:spacing w:val="0"/>
          <w:kern w:val="2"/>
          <w:sz w:val="28"/>
          <w:szCs w:val="28"/>
          <w:u w:val="single"/>
          <w:shd w:val="clear" w:color="auto" w:fill="auto"/>
          <w:lang w:val="en-US" w:eastAsia="zh-CN" w:bidi="ar"/>
        </w:rPr>
        <w:t>中国长城资产管理股份有限公司山东省分公司拥有的山东省富泰新型建材有限公司、山东百汇工业科技有限公司2户债权，整体拍卖，截至2020年11月30日，债权金额合计为69,624,325.70元，其中：本金为51,282,733.48元、利息为17,907,855.22元、其他费用为433,737.00元（2020年11月30日之后产生的利息，以及与不良贷款债权相关的从权利亦在本次拍卖范围内），现状拍卖。最终债权金额、担保等情况以委托人与买受人签署的《债权转让协议》和双方移交材料为准，拍卖人提供的相关资料仅供参考。</w:t>
      </w:r>
    </w:p>
    <w:p>
      <w:pPr>
        <w:spacing w:line="3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对</w:t>
      </w:r>
      <w:r>
        <w:rPr>
          <w:rFonts w:hint="eastAsia" w:ascii="仿宋" w:hAnsi="仿宋" w:eastAsia="仿宋"/>
          <w:color w:val="000000"/>
          <w:sz w:val="28"/>
          <w:szCs w:val="28"/>
          <w:lang w:eastAsia="zh-CN"/>
        </w:rPr>
        <w:t>于上述拍卖标的</w:t>
      </w:r>
      <w:r>
        <w:rPr>
          <w:rFonts w:hint="eastAsia" w:ascii="仿宋" w:hAnsi="仿宋" w:eastAsia="仿宋"/>
          <w:color w:val="000000"/>
          <w:sz w:val="28"/>
          <w:szCs w:val="28"/>
        </w:rPr>
        <w:t>，我公司在此提示风险如下，请竞买人自行把握竞买风险：</w:t>
      </w:r>
    </w:p>
    <w:p>
      <w:pPr>
        <w:spacing w:line="3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spacing w:line="36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1.1贷款债权系不良资产，存在着部分或全部不能回收的风险特性以及清收的困难性；</w:t>
      </w:r>
    </w:p>
    <w:p>
      <w:pPr>
        <w:snapToGrid/>
        <w:spacing w:line="36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spacing w:line="36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1.3 贷款债权项下借款人、担保人或其他责任主体可能存在破产、被吊销、被注销、被撤销、解散、关闭、歇业、停业、下落不明、无法查询到相关信息以及其他主体存续性瑕疵的情形；</w:t>
      </w:r>
    </w:p>
    <w:p>
      <w:pPr>
        <w:snapToGrid/>
        <w:spacing w:line="36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1.4 贷款债权可能已超过诉讼、执行时效、法定或约定时效或丧失其他相关的期间利益或因其他原因已部分或全部丧失；</w:t>
      </w:r>
    </w:p>
    <w:p>
      <w:pPr>
        <w:snapToGrid/>
        <w:spacing w:line="36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1.5 贷款债权项下担保权利可能未生效、无效、消灭或已过诉讼时效等情形；</w:t>
      </w:r>
    </w:p>
    <w:p>
      <w:pPr>
        <w:snapToGrid/>
        <w:spacing w:line="36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1.6 贷款债权权属文件可能存在缺失（不限于原件）、内容冲突、不真实等相关情形；</w:t>
      </w:r>
    </w:p>
    <w:p>
      <w:pPr>
        <w:snapToGrid/>
        <w:spacing w:line="36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1.7涉诉贷款债权可能存在全部或部分败诉、不能变更诉讼（含执行）主体、相关诉讼、执行费用未付等情形，涉诉贷款债权可能在交割前已诉讼终结、执行终结或破产终结；</w:t>
      </w:r>
    </w:p>
    <w:p>
      <w:pPr>
        <w:snapToGrid/>
        <w:spacing w:line="360" w:lineRule="exact"/>
        <w:ind w:right="0" w:righ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1.8 贷款债权事实上可能已经全部灭失或部分灭失，存在无法向原主从债务人进行追偿的可能性；</w:t>
      </w:r>
    </w:p>
    <w:p>
      <w:pPr>
        <w:snapToGrid/>
        <w:spacing w:line="360" w:lineRule="exact"/>
        <w:ind w:right="0" w:firstLine="560" w:firstLineChars="200"/>
        <w:rPr>
          <w:rFonts w:hint="eastAsia" w:ascii="仿宋" w:hAnsi="仿宋" w:eastAsia="仿宋"/>
          <w:color w:val="000000"/>
          <w:sz w:val="28"/>
          <w:szCs w:val="28"/>
        </w:rPr>
      </w:pPr>
      <w:r>
        <w:rPr>
          <w:rFonts w:hint="eastAsia" w:ascii="仿宋" w:hAnsi="仿宋" w:eastAsia="仿宋"/>
          <w:color w:val="000000"/>
          <w:sz w:val="28"/>
          <w:szCs w:val="28"/>
        </w:rPr>
        <w:t>1.9买受人受让贷款债权后，对该贷款债权在交割日后的利息或罚息请求权，买受人可能无法继续享有；</w:t>
      </w:r>
    </w:p>
    <w:p>
      <w:pPr>
        <w:snapToGrid/>
        <w:spacing w:line="3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1.10买受人受让贷款债权后，可能无法享有委托人所享有的国家法律政策规定的各项优惠条件和特殊保护，包括但不限于税收和诉讼方面的优惠和特殊保护；</w:t>
      </w:r>
    </w:p>
    <w:p>
      <w:pPr>
        <w:snapToGrid/>
        <w:spacing w:line="3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 xml:space="preserve">1.11 </w:t>
      </w:r>
      <w:r>
        <w:rPr>
          <w:rFonts w:hint="eastAsia" w:ascii="仿宋" w:hAnsi="仿宋" w:eastAsia="仿宋"/>
          <w:color w:val="000000"/>
          <w:sz w:val="28"/>
          <w:szCs w:val="28"/>
        </w:rPr>
        <w:t>已诉债权甲方未申请变更执行人，存在执行中止、终结情形，买受人受让后可能无法变更执行申请人的情形。</w:t>
      </w:r>
    </w:p>
    <w:p>
      <w:pPr>
        <w:snapToGrid/>
        <w:spacing w:line="3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1.12已诉债权采取的诉讼保全措施可能存在已到期或即将到期未及时续封情形；</w:t>
      </w:r>
    </w:p>
    <w:p>
      <w:pPr>
        <w:snapToGrid/>
        <w:spacing w:line="36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1.13</w:t>
      </w:r>
      <w:r>
        <w:rPr>
          <w:rFonts w:hint="eastAsia" w:ascii="仿宋" w:hAnsi="仿宋" w:eastAsia="仿宋"/>
          <w:color w:val="000000"/>
          <w:sz w:val="28"/>
          <w:szCs w:val="28"/>
        </w:rPr>
        <w:t>尽管甲方已对拟转让债权瑕疵作出上述披露，但该债权仍然存在包括但不限于如下瑕疵，乙方受让贷款债权前，已充分了解甲方告知的下列事实：</w:t>
      </w:r>
      <w:r>
        <w:rPr>
          <w:rFonts w:hint="eastAsia" w:ascii="仿宋" w:hAnsi="仿宋" w:eastAsia="仿宋"/>
          <w:color w:val="000000"/>
          <w:sz w:val="28"/>
          <w:szCs w:val="28"/>
          <w:lang w:val="en-US" w:eastAsia="zh-CN"/>
        </w:rPr>
        <w:t xml:space="preserve"> </w:t>
      </w:r>
    </w:p>
    <w:p>
      <w:pPr>
        <w:numPr>
          <w:ilvl w:val="-1"/>
          <w:numId w:val="0"/>
        </w:numPr>
        <w:snapToGrid/>
        <w:spacing w:line="360" w:lineRule="exact"/>
        <w:ind w:firstLine="560" w:firstLineChars="200"/>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lang w:val="en-US" w:eastAsia="zh-CN"/>
        </w:rPr>
        <w:t>（1）山东省富泰新型建材有限公司债权中抵押的机器设备可能存在毁损、灭失情形；</w:t>
      </w:r>
      <w:r>
        <w:rPr>
          <w:rFonts w:hint="eastAsia" w:ascii="仿宋" w:hAnsi="仿宋" w:eastAsia="仿宋"/>
          <w:color w:val="000000"/>
          <w:sz w:val="28"/>
          <w:szCs w:val="28"/>
          <w:highlight w:val="none"/>
          <w:lang w:val="en-US" w:eastAsia="zh-CN"/>
        </w:rPr>
        <w:t>抵押机器设备存在在先抵押权人；</w:t>
      </w:r>
    </w:p>
    <w:p>
      <w:pPr>
        <w:numPr>
          <w:ilvl w:val="-1"/>
          <w:numId w:val="0"/>
        </w:numPr>
        <w:snapToGrid/>
        <w:spacing w:line="360" w:lineRule="exact"/>
        <w:ind w:firstLine="560" w:firstLineChars="200"/>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lang w:val="en-US" w:eastAsia="zh-CN"/>
        </w:rPr>
        <w:t>（2）山东省富泰新型建材有限公司债权中抵押的房地产，法院判决的最高抵押优先权数额与</w:t>
      </w:r>
      <w:r>
        <w:rPr>
          <w:rFonts w:hint="eastAsia" w:ascii="仿宋" w:hAnsi="仿宋" w:eastAsia="仿宋"/>
          <w:color w:val="000000"/>
          <w:sz w:val="28"/>
          <w:szCs w:val="28"/>
          <w:highlight w:val="none"/>
          <w:lang w:val="en-US" w:eastAsia="zh-CN"/>
        </w:rPr>
        <w:t>抵押合同数额一致，但与他项权证登记数额不一致。</w:t>
      </w:r>
    </w:p>
    <w:p>
      <w:pPr>
        <w:spacing w:line="3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360" w:lineRule="exact"/>
        <w:ind w:firstLine="562" w:firstLineChars="200"/>
        <w:rPr>
          <w:rFonts w:hint="eastAsia" w:ascii="仿宋" w:hAnsi="仿宋" w:eastAsia="仿宋"/>
          <w:b/>
          <w:bCs/>
          <w:color w:val="000000"/>
          <w:sz w:val="28"/>
          <w:szCs w:val="28"/>
          <w:lang w:eastAsia="zh-CN"/>
        </w:rPr>
      </w:pPr>
      <w:r>
        <w:rPr>
          <w:rFonts w:hint="eastAsia" w:ascii="仿宋" w:hAnsi="仿宋" w:eastAsia="仿宋"/>
          <w:b/>
          <w:bCs/>
          <w:color w:val="000000"/>
          <w:sz w:val="28"/>
          <w:szCs w:val="28"/>
          <w:lang w:eastAsia="zh-CN"/>
        </w:rPr>
        <w:t>竞买人</w:t>
      </w:r>
      <w:r>
        <w:rPr>
          <w:rFonts w:hint="eastAsia" w:ascii="仿宋" w:hAnsi="仿宋" w:eastAsia="仿宋"/>
          <w:b/>
          <w:bCs/>
          <w:color w:val="000000"/>
          <w:sz w:val="28"/>
          <w:szCs w:val="28"/>
        </w:rPr>
        <w:t>声明并承诺：本人已全面了解拍卖标的现状（包括瑕疵），认可本次拍卖会的全部要求，对所拍卖的标的无异议，并承诺按竞买协议及竞买须知要求办理各项事宜。如果违约，由委托方、拍卖公司按照《拍卖法》及有关法律规定办理，并承担违约责任。</w:t>
      </w:r>
    </w:p>
    <w:p>
      <w:pPr>
        <w:spacing w:line="360" w:lineRule="exact"/>
        <w:ind w:firstLine="560" w:firstLineChars="200"/>
        <w:rPr>
          <w:rFonts w:hint="eastAsia" w:ascii="仿宋" w:hAnsi="仿宋" w:eastAsia="仿宋"/>
          <w:color w:val="000000"/>
          <w:sz w:val="28"/>
          <w:szCs w:val="28"/>
        </w:rPr>
      </w:pPr>
    </w:p>
    <w:p>
      <w:pPr>
        <w:spacing w:line="360" w:lineRule="exact"/>
        <w:ind w:firstLine="562" w:firstLineChars="200"/>
        <w:rPr>
          <w:rFonts w:hint="eastAsia" w:ascii="仿宋" w:hAnsi="仿宋" w:eastAsia="仿宋"/>
          <w:color w:val="000000"/>
          <w:sz w:val="28"/>
          <w:szCs w:val="28"/>
        </w:rPr>
      </w:pPr>
      <w:r>
        <w:rPr>
          <w:rFonts w:hint="eastAsia" w:ascii="仿宋" w:hAnsi="仿宋" w:eastAsia="仿宋"/>
          <w:b/>
          <w:bCs/>
          <w:color w:val="000000"/>
          <w:sz w:val="28"/>
          <w:szCs w:val="28"/>
        </w:rPr>
        <w:t>竞买人签字</w:t>
      </w:r>
      <w:r>
        <w:rPr>
          <w:rFonts w:hint="eastAsia" w:ascii="仿宋" w:hAnsi="仿宋" w:eastAsia="仿宋"/>
          <w:b/>
          <w:bCs/>
          <w:color w:val="000000"/>
          <w:sz w:val="28"/>
          <w:szCs w:val="28"/>
          <w:lang w:val="en-US" w:eastAsia="zh-CN"/>
        </w:rPr>
        <w:t xml:space="preserve"> (单位公章)：</w:t>
      </w:r>
    </w:p>
    <w:p>
      <w:pPr>
        <w:spacing w:line="360" w:lineRule="exact"/>
        <w:ind w:firstLine="560" w:firstLineChars="200"/>
        <w:jc w:val="left"/>
        <w:rPr>
          <w:rFonts w:hint="eastAsia" w:ascii="仿宋" w:hAnsi="仿宋" w:eastAsia="仿宋"/>
          <w:color w:val="000000"/>
          <w:sz w:val="28"/>
          <w:szCs w:val="28"/>
        </w:rPr>
      </w:pPr>
    </w:p>
    <w:p>
      <w:pPr>
        <w:wordWrap w:val="0"/>
        <w:spacing w:line="360" w:lineRule="exact"/>
        <w:ind w:firstLine="562" w:firstLineChars="200"/>
        <w:jc w:val="right"/>
        <w:rPr>
          <w:rFonts w:hint="default"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 xml:space="preserve">  </w:t>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lang w:val="en-US" w:eastAsia="zh-CN"/>
        </w:rPr>
        <w:t xml:space="preserve">  </w:t>
      </w:r>
    </w:p>
    <w:p>
      <w:pPr>
        <w:spacing w:line="360" w:lineRule="exact"/>
        <w:ind w:firstLine="560" w:firstLineChars="200"/>
        <w:jc w:val="center"/>
        <w:rPr>
          <w:rFonts w:hint="eastAsia" w:ascii="仿宋" w:hAnsi="仿宋" w:eastAsia="仿宋"/>
          <w:color w:val="000000"/>
          <w:sz w:val="28"/>
          <w:szCs w:val="28"/>
        </w:rPr>
      </w:pPr>
      <w:r>
        <w:rPr>
          <w:rFonts w:hint="eastAsia" w:ascii="仿宋" w:hAnsi="仿宋" w:eastAsia="仿宋" w:cs="Times New Roman"/>
          <w:color w:val="000000"/>
          <w:sz w:val="28"/>
          <w:szCs w:val="28"/>
          <w:lang w:val="en-US" w:eastAsia="zh-CN"/>
        </w:rPr>
        <w:t xml:space="preserve">                                </w:t>
      </w:r>
      <w:r>
        <w:rPr>
          <w:rFonts w:hint="eastAsia" w:ascii="仿宋" w:hAnsi="仿宋" w:eastAsia="仿宋" w:cs="Times New Roman"/>
          <w:color w:val="000000"/>
          <w:sz w:val="28"/>
          <w:szCs w:val="28"/>
        </w:rPr>
        <w:t>二O二O年</w:t>
      </w:r>
      <w:r>
        <w:rPr>
          <w:rFonts w:hint="eastAsia" w:ascii="仿宋" w:hAnsi="仿宋" w:eastAsia="仿宋" w:cs="Times New Roman"/>
          <w:color w:val="000000"/>
          <w:sz w:val="28"/>
          <w:szCs w:val="28"/>
          <w:lang w:val="en-US" w:eastAsia="zh-CN"/>
        </w:rPr>
        <w:t>十二</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十八</w:t>
      </w:r>
      <w:r>
        <w:rPr>
          <w:rFonts w:hint="eastAsia" w:ascii="仿宋" w:hAnsi="仿宋" w:eastAsia="仿宋" w:cs="Times New Roman"/>
          <w:color w:val="000000"/>
          <w:sz w:val="28"/>
          <w:szCs w:val="28"/>
        </w:rPr>
        <w:t>日</w:t>
      </w:r>
      <w:r>
        <w:rPr>
          <w:rFonts w:hint="eastAsia" w:ascii="仿宋" w:hAnsi="仿宋" w:eastAsia="仿宋" w:cs="Times New Roman"/>
          <w:color w:val="000000"/>
          <w:sz w:val="28"/>
          <w:szCs w:val="28"/>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345226B"/>
    <w:rsid w:val="0DB4363B"/>
    <w:rsid w:val="10275A60"/>
    <w:rsid w:val="17580747"/>
    <w:rsid w:val="1A5E647D"/>
    <w:rsid w:val="1C877397"/>
    <w:rsid w:val="1DBC563E"/>
    <w:rsid w:val="1F8220EA"/>
    <w:rsid w:val="21ED4D71"/>
    <w:rsid w:val="22102F4D"/>
    <w:rsid w:val="22472753"/>
    <w:rsid w:val="24575584"/>
    <w:rsid w:val="24E30939"/>
    <w:rsid w:val="26767A40"/>
    <w:rsid w:val="28984A15"/>
    <w:rsid w:val="28A511BD"/>
    <w:rsid w:val="2C1B2367"/>
    <w:rsid w:val="3031111E"/>
    <w:rsid w:val="3256430F"/>
    <w:rsid w:val="3723716F"/>
    <w:rsid w:val="39954C6F"/>
    <w:rsid w:val="3A3A28D6"/>
    <w:rsid w:val="411421CE"/>
    <w:rsid w:val="44EF53C2"/>
    <w:rsid w:val="465D2D4B"/>
    <w:rsid w:val="479967B3"/>
    <w:rsid w:val="48853BDF"/>
    <w:rsid w:val="49343488"/>
    <w:rsid w:val="49D0137A"/>
    <w:rsid w:val="4A8F1DB8"/>
    <w:rsid w:val="4B50378B"/>
    <w:rsid w:val="4F390BF3"/>
    <w:rsid w:val="4FCF5A48"/>
    <w:rsid w:val="506B3A14"/>
    <w:rsid w:val="59CA559B"/>
    <w:rsid w:val="5B8E1592"/>
    <w:rsid w:val="604665B2"/>
    <w:rsid w:val="61816069"/>
    <w:rsid w:val="645E0C0F"/>
    <w:rsid w:val="6B524C0D"/>
    <w:rsid w:val="6BBB1A5F"/>
    <w:rsid w:val="7181238A"/>
    <w:rsid w:val="74F3142E"/>
    <w:rsid w:val="7AA50F97"/>
    <w:rsid w:val="7B2A1A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qFormat/>
    <w:uiPriority w:val="0"/>
    <w:pPr>
      <w:spacing w:after="120" w:afterLines="0"/>
      <w:ind w:left="420" w:leftChars="200"/>
    </w:pPr>
  </w:style>
  <w:style w:type="paragraph" w:styleId="4">
    <w:name w:val="Date"/>
    <w:basedOn w:val="1"/>
    <w:next w:val="1"/>
    <w:link w:val="16"/>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1">
    <w:name w:val="_Style 7"/>
    <w:basedOn w:val="1"/>
    <w:link w:val="10"/>
    <w:qFormat/>
    <w:uiPriority w:val="0"/>
  </w:style>
  <w:style w:type="character" w:styleId="12">
    <w:name w:val="page number"/>
    <w:basedOn w:val="10"/>
    <w:qFormat/>
    <w:uiPriority w:val="0"/>
  </w:style>
  <w:style w:type="paragraph" w:customStyle="1" w:styleId="13">
    <w:name w:val="Char"/>
    <w:basedOn w:val="1"/>
    <w:qFormat/>
    <w:uiPriority w:val="0"/>
  </w:style>
  <w:style w:type="paragraph" w:customStyle="1" w:styleId="14">
    <w:name w:val="默认段落字体 Para Char Char Char Char Char Char Char"/>
    <w:basedOn w:val="1"/>
    <w:qFormat/>
    <w:uiPriority w:val="0"/>
  </w:style>
  <w:style w:type="paragraph" w:customStyle="1" w:styleId="15">
    <w:name w:val=" Char"/>
    <w:basedOn w:val="1"/>
    <w:qFormat/>
    <w:uiPriority w:val="0"/>
  </w:style>
  <w:style w:type="character" w:customStyle="1" w:styleId="16">
    <w:name w:val="日期 Char"/>
    <w:link w:val="4"/>
    <w:qFormat/>
    <w:uiPriority w:val="0"/>
    <w:rPr>
      <w:kern w:val="2"/>
      <w:sz w:val="21"/>
      <w:szCs w:val="24"/>
    </w:rPr>
  </w:style>
  <w:style w:type="character" w:customStyle="1" w:styleId="17">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0</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2020-09-15T05:38:00Z</cp:lastPrinted>
  <dcterms:modified xsi:type="dcterms:W3CDTF">2020-12-22T04:37:07Z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