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楷体" w:hAnsi="楷体" w:eastAsia="楷体"/>
          <w:b/>
          <w:sz w:val="24"/>
        </w:rPr>
      </w:pPr>
    </w:p>
    <w:p>
      <w:pPr>
        <w:spacing w:line="360" w:lineRule="auto"/>
        <w:jc w:val="center"/>
        <w:outlineLvl w:val="0"/>
        <w:rPr>
          <w:rFonts w:hint="eastAsia" w:ascii="楷体" w:hAnsi="楷体" w:eastAsia="楷体"/>
          <w:b/>
          <w:sz w:val="24"/>
        </w:rPr>
      </w:pPr>
    </w:p>
    <w:p>
      <w:pPr>
        <w:spacing w:line="360" w:lineRule="auto"/>
        <w:jc w:val="center"/>
        <w:outlineLvl w:val="0"/>
        <w:rPr>
          <w:rFonts w:hint="eastAsia" w:ascii="楷体" w:hAnsi="楷体" w:eastAsia="楷体"/>
          <w:b/>
          <w:sz w:val="24"/>
        </w:rPr>
      </w:pPr>
    </w:p>
    <w:p>
      <w:pPr>
        <w:spacing w:line="360" w:lineRule="auto"/>
        <w:jc w:val="center"/>
        <w:outlineLvl w:val="0"/>
        <w:rPr>
          <w:rFonts w:hint="eastAsia" w:ascii="楷体" w:hAnsi="楷体" w:eastAsia="楷体"/>
          <w:b/>
          <w:sz w:val="24"/>
        </w:rPr>
      </w:pPr>
    </w:p>
    <w:p>
      <w:pPr>
        <w:spacing w:line="360" w:lineRule="auto"/>
        <w:jc w:val="center"/>
        <w:outlineLvl w:val="0"/>
        <w:rPr>
          <w:rFonts w:ascii="楷体" w:hAnsi="楷体" w:eastAsia="楷体"/>
          <w:b/>
          <w:sz w:val="32"/>
          <w:szCs w:val="32"/>
        </w:rPr>
      </w:pPr>
      <w:r>
        <w:rPr>
          <w:rFonts w:hint="eastAsia" w:ascii="楷体" w:hAnsi="楷体" w:eastAsia="楷体"/>
          <w:b/>
          <w:sz w:val="32"/>
          <w:szCs w:val="32"/>
        </w:rPr>
        <w:t>委托拍卖协议</w:t>
      </w:r>
      <w:r>
        <w:rPr>
          <w:rFonts w:ascii="楷体" w:hAnsi="楷体" w:eastAsia="楷体"/>
          <w:b/>
          <w:sz w:val="32"/>
          <w:szCs w:val="32"/>
        </w:rPr>
        <w:t>附件清单</w:t>
      </w:r>
    </w:p>
    <w:p>
      <w:pPr>
        <w:spacing w:line="360" w:lineRule="auto"/>
        <w:jc w:val="center"/>
        <w:outlineLvl w:val="0"/>
        <w:rPr>
          <w:rFonts w:ascii="楷体" w:hAnsi="楷体" w:eastAsia="楷体"/>
          <w:b/>
          <w:sz w:val="24"/>
        </w:rPr>
      </w:pPr>
    </w:p>
    <w:p>
      <w:pPr>
        <w:tabs>
          <w:tab w:val="left" w:pos="8280"/>
        </w:tabs>
        <w:snapToGrid w:val="0"/>
        <w:spacing w:line="360" w:lineRule="auto"/>
        <w:ind w:left="1446" w:right="-154"/>
        <w:rPr>
          <w:rFonts w:ascii="楷体" w:hAnsi="楷体" w:eastAsia="楷体"/>
          <w:b/>
          <w:sz w:val="24"/>
        </w:rPr>
      </w:pPr>
      <w:r>
        <w:rPr>
          <w:rFonts w:ascii="楷体" w:hAnsi="楷体" w:eastAsia="楷体"/>
          <w:b/>
          <w:sz w:val="24"/>
        </w:rPr>
        <w:t>附件一：</w:t>
      </w:r>
      <w:r>
        <w:rPr>
          <w:rFonts w:hint="eastAsia" w:ascii="楷体" w:hAnsi="楷体" w:eastAsia="楷体"/>
          <w:b/>
          <w:sz w:val="24"/>
        </w:rPr>
        <w:t>拍卖债权明细</w:t>
      </w:r>
    </w:p>
    <w:p>
      <w:pPr>
        <w:tabs>
          <w:tab w:val="left" w:pos="8280"/>
        </w:tabs>
        <w:snapToGrid w:val="0"/>
        <w:spacing w:line="360" w:lineRule="auto"/>
        <w:ind w:right="-154" w:firstLine="1446" w:firstLineChars="600"/>
        <w:rPr>
          <w:rFonts w:ascii="楷体" w:hAnsi="楷体" w:eastAsia="楷体"/>
          <w:b/>
          <w:sz w:val="24"/>
        </w:rPr>
      </w:pPr>
      <w:r>
        <w:rPr>
          <w:rFonts w:ascii="楷体" w:hAnsi="楷体" w:eastAsia="楷体"/>
          <w:b/>
          <w:sz w:val="24"/>
        </w:rPr>
        <w:t>附件二：</w:t>
      </w:r>
      <w:r>
        <w:rPr>
          <w:rFonts w:hint="eastAsia" w:ascii="楷体" w:hAnsi="楷体" w:eastAsia="楷体"/>
          <w:b/>
          <w:sz w:val="24"/>
        </w:rPr>
        <w:t>拍卖债权的权属文件</w:t>
      </w:r>
    </w:p>
    <w:p>
      <w:pPr>
        <w:tabs>
          <w:tab w:val="left" w:pos="8280"/>
        </w:tabs>
        <w:snapToGrid w:val="0"/>
        <w:spacing w:line="360" w:lineRule="auto"/>
        <w:ind w:right="-154" w:firstLine="1446" w:firstLineChars="600"/>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tabs>
          <w:tab w:val="left" w:pos="8280"/>
        </w:tabs>
        <w:snapToGrid w:val="0"/>
        <w:spacing w:line="360" w:lineRule="auto"/>
        <w:ind w:right="-154" w:firstLine="1446" w:firstLineChars="600"/>
        <w:rPr>
          <w:rFonts w:ascii="楷体" w:hAnsi="楷体" w:eastAsia="楷体"/>
          <w:b/>
          <w:sz w:val="24"/>
        </w:rPr>
      </w:pPr>
      <w:r>
        <w:rPr>
          <w:rFonts w:hint="eastAsia" w:ascii="楷体" w:hAnsi="楷体" w:eastAsia="楷体"/>
          <w:b/>
          <w:sz w:val="24"/>
        </w:rPr>
        <w:t>附件四：</w:t>
      </w:r>
      <w:r>
        <w:rPr>
          <w:rFonts w:ascii="楷体" w:hAnsi="楷体" w:eastAsia="楷体"/>
          <w:b/>
          <w:sz w:val="24"/>
        </w:rPr>
        <w:t>《债权转让</w:t>
      </w:r>
      <w:r>
        <w:rPr>
          <w:rFonts w:hint="eastAsia" w:ascii="楷体" w:hAnsi="楷体" w:eastAsia="楷体"/>
          <w:b/>
          <w:sz w:val="24"/>
        </w:rPr>
        <w:t>协议</w:t>
      </w:r>
      <w:r>
        <w:rPr>
          <w:rFonts w:ascii="楷体" w:hAnsi="楷体" w:eastAsia="楷体"/>
          <w:b/>
          <w:sz w:val="24"/>
        </w:rPr>
        <w:t>》</w:t>
      </w:r>
    </w:p>
    <w:p>
      <w:pPr>
        <w:tabs>
          <w:tab w:val="left" w:pos="8280"/>
        </w:tabs>
        <w:adjustRightInd w:val="0"/>
        <w:snapToGrid w:val="0"/>
        <w:spacing w:line="360" w:lineRule="auto"/>
        <w:ind w:right="-153" w:firstLine="1446" w:firstLineChars="600"/>
        <w:rPr>
          <w:rFonts w:ascii="楷体" w:hAnsi="楷体" w:eastAsia="楷体"/>
          <w:b/>
          <w:sz w:val="24"/>
        </w:rPr>
      </w:pPr>
      <w:r>
        <w:rPr>
          <w:rFonts w:hint="eastAsia" w:ascii="楷体" w:hAnsi="楷体" w:eastAsia="楷体"/>
          <w:b/>
          <w:sz w:val="24"/>
        </w:rPr>
        <w:t>附件五：拍卖成交确认书</w:t>
      </w:r>
    </w:p>
    <w:p>
      <w:pPr>
        <w:tabs>
          <w:tab w:val="left" w:pos="8280"/>
        </w:tabs>
        <w:adjustRightInd w:val="0"/>
        <w:snapToGrid w:val="0"/>
        <w:spacing w:line="360" w:lineRule="auto"/>
        <w:ind w:right="-153" w:firstLine="1446" w:firstLineChars="600"/>
        <w:rPr>
          <w:rFonts w:ascii="楷体" w:hAnsi="楷体" w:eastAsia="楷体"/>
          <w:b/>
          <w:sz w:val="24"/>
        </w:rPr>
      </w:pPr>
      <w:r>
        <w:rPr>
          <w:rFonts w:hint="eastAsia" w:ascii="楷体" w:hAnsi="楷体" w:eastAsia="楷体"/>
          <w:b/>
          <w:sz w:val="24"/>
        </w:rPr>
        <w:t>附件六：保密承诺函</w:t>
      </w:r>
    </w:p>
    <w:p>
      <w:pPr>
        <w:tabs>
          <w:tab w:val="left" w:pos="8280"/>
        </w:tabs>
        <w:adjustRightInd w:val="0"/>
        <w:snapToGrid w:val="0"/>
        <w:spacing w:line="360" w:lineRule="auto"/>
        <w:ind w:right="-153" w:firstLine="1446" w:firstLineChars="600"/>
        <w:rPr>
          <w:rFonts w:ascii="楷体" w:hAnsi="楷体" w:eastAsia="楷体"/>
          <w:b/>
          <w:sz w:val="24"/>
        </w:rPr>
      </w:pPr>
      <w:r>
        <w:rPr>
          <w:rFonts w:hint="eastAsia" w:ascii="楷体" w:hAnsi="楷体" w:eastAsia="楷体"/>
          <w:b/>
          <w:sz w:val="24"/>
        </w:rPr>
        <w:t>附件七：竞买人参加竞买承诺书</w:t>
      </w:r>
      <w:bookmarkStart w:id="0" w:name="_GoBack"/>
      <w:bookmarkEnd w:id="0"/>
    </w:p>
    <w:p>
      <w:pPr>
        <w:rPr>
          <w:rFonts w:ascii="楷体" w:hAnsi="楷体" w:eastAsia="楷体"/>
        </w:rPr>
      </w:pPr>
    </w:p>
    <w:p>
      <w:pPr>
        <w:rPr>
          <w:rFonts w:ascii="楷体" w:hAnsi="楷体" w:eastAsia="楷体"/>
        </w:rPr>
      </w:pPr>
      <w:r>
        <w:rPr>
          <w:rFonts w:ascii="楷体" w:hAnsi="楷体" w:eastAsia="楷体"/>
        </w:rPr>
        <w:t xml:space="preserve">     </w:t>
      </w:r>
    </w:p>
    <w:p>
      <w:pPr>
        <w:rPr>
          <w:rFonts w:ascii="楷体" w:hAnsi="楷体" w:eastAsia="楷体"/>
        </w:rPr>
      </w:pPr>
      <w:r>
        <w:rPr>
          <w:rFonts w:ascii="楷体" w:hAnsi="楷体" w:eastAsia="楷体"/>
        </w:rPr>
        <w:br w:type="page"/>
      </w:r>
    </w:p>
    <w:p>
      <w:pPr>
        <w:keepLines/>
        <w:spacing w:before="120" w:after="120"/>
        <w:ind w:firstLine="3132" w:firstLineChars="1300"/>
        <w:outlineLvl w:val="0"/>
        <w:rPr>
          <w:rFonts w:ascii="仿宋_GB2312" w:eastAsia="仿宋_GB2312"/>
          <w:b/>
          <w:kern w:val="44"/>
          <w:sz w:val="24"/>
        </w:rPr>
      </w:pPr>
      <w:r>
        <w:rPr>
          <w:rFonts w:hint="eastAsia" w:ascii="仿宋_GB2312" w:eastAsia="仿宋_GB2312"/>
          <w:b/>
          <w:kern w:val="44"/>
          <w:sz w:val="24"/>
        </w:rPr>
        <w:t>附件一：拍卖债权明细表</w:t>
      </w:r>
    </w:p>
    <w:p>
      <w:pPr>
        <w:ind w:right="480"/>
        <w:rPr>
          <w:rFonts w:eastAsia="仿宋_GB2312"/>
        </w:rPr>
      </w:pPr>
      <w:r>
        <w:rPr>
          <w:rFonts w:hint="eastAsia" w:ascii="仿宋_GB2312" w:eastAsia="仿宋_GB2312"/>
          <w:sz w:val="24"/>
        </w:rPr>
        <w:t xml:space="preserve">                                                      单位：元</w:t>
      </w:r>
    </w:p>
    <w:tbl>
      <w:tblPr>
        <w:tblStyle w:val="10"/>
        <w:tblW w:w="10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2"/>
        <w:gridCol w:w="1705"/>
        <w:gridCol w:w="1276"/>
        <w:gridCol w:w="1134"/>
        <w:gridCol w:w="708"/>
        <w:gridCol w:w="1276"/>
        <w:gridCol w:w="4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282"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序号</w:t>
            </w:r>
          </w:p>
        </w:tc>
        <w:tc>
          <w:tcPr>
            <w:tcW w:w="1705"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主债务人名称</w:t>
            </w:r>
          </w:p>
        </w:tc>
        <w:tc>
          <w:tcPr>
            <w:tcW w:w="1276"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债权本金</w:t>
            </w:r>
          </w:p>
        </w:tc>
        <w:tc>
          <w:tcPr>
            <w:tcW w:w="1134" w:type="dxa"/>
            <w:shd w:val="clear" w:color="auto" w:fill="FFFFFF"/>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利息</w:t>
            </w:r>
          </w:p>
        </w:tc>
        <w:tc>
          <w:tcPr>
            <w:tcW w:w="708" w:type="dxa"/>
            <w:shd w:val="clear" w:color="auto" w:fill="FFFFFF"/>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其他费用</w:t>
            </w:r>
          </w:p>
        </w:tc>
        <w:tc>
          <w:tcPr>
            <w:tcW w:w="1276" w:type="dxa"/>
            <w:shd w:val="clear" w:color="auto" w:fill="FFFFFF"/>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本息合计</w:t>
            </w:r>
          </w:p>
        </w:tc>
        <w:tc>
          <w:tcPr>
            <w:tcW w:w="4196"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担保</w:t>
            </w:r>
          </w:p>
          <w:p>
            <w:pPr>
              <w:widowControl/>
              <w:jc w:val="center"/>
              <w:textAlignment w:val="center"/>
              <w:rPr>
                <w:rFonts w:ascii="仿宋" w:hAnsi="仿宋" w:eastAsia="仿宋" w:cs="仿宋"/>
                <w:b/>
                <w:color w:val="000000"/>
                <w:szCs w:val="21"/>
              </w:rPr>
            </w:pPr>
            <w:r>
              <w:rPr>
                <w:rFonts w:hint="eastAsia" w:ascii="仿宋" w:hAnsi="仿宋" w:eastAsia="仿宋" w:cs="仿宋"/>
                <w:b/>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atLeast"/>
          <w:jc w:val="center"/>
        </w:trPr>
        <w:tc>
          <w:tcPr>
            <w:tcW w:w="28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w:t>
            </w:r>
          </w:p>
        </w:tc>
        <w:tc>
          <w:tcPr>
            <w:tcW w:w="1705"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菏泽巨鑫源食品有限公司</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153</w:t>
            </w:r>
            <w:r>
              <w:rPr>
                <w:rFonts w:hint="eastAsia" w:ascii="仿宋" w:hAnsi="仿宋" w:eastAsia="仿宋" w:cs="仿宋"/>
                <w:color w:val="000000"/>
                <w:szCs w:val="21"/>
              </w:rPr>
              <w:t>,</w:t>
            </w:r>
            <w:r>
              <w:rPr>
                <w:rFonts w:ascii="仿宋" w:hAnsi="仿宋" w:eastAsia="仿宋" w:cs="仿宋"/>
                <w:color w:val="000000"/>
                <w:szCs w:val="21"/>
              </w:rPr>
              <w:t>040</w:t>
            </w:r>
            <w:r>
              <w:rPr>
                <w:rFonts w:hint="eastAsia" w:ascii="仿宋" w:hAnsi="仿宋" w:eastAsia="仿宋" w:cs="仿宋"/>
                <w:color w:val="000000"/>
                <w:szCs w:val="21"/>
              </w:rPr>
              <w:t>,</w:t>
            </w:r>
            <w:r>
              <w:rPr>
                <w:rFonts w:ascii="仿宋" w:hAnsi="仿宋" w:eastAsia="仿宋" w:cs="仿宋"/>
                <w:color w:val="000000"/>
                <w:szCs w:val="21"/>
              </w:rPr>
              <w:t>588.43</w:t>
            </w:r>
          </w:p>
        </w:tc>
        <w:tc>
          <w:tcPr>
            <w:tcW w:w="1134"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29</w:t>
            </w:r>
            <w:r>
              <w:rPr>
                <w:rFonts w:hint="eastAsia" w:ascii="仿宋" w:hAnsi="仿宋" w:eastAsia="仿宋" w:cs="仿宋"/>
                <w:color w:val="000000"/>
                <w:kern w:val="0"/>
                <w:szCs w:val="21"/>
              </w:rPr>
              <w:t>,</w:t>
            </w:r>
            <w:r>
              <w:rPr>
                <w:rFonts w:ascii="仿宋" w:hAnsi="仿宋" w:eastAsia="仿宋" w:cs="仿宋"/>
                <w:color w:val="000000"/>
                <w:kern w:val="0"/>
                <w:szCs w:val="21"/>
              </w:rPr>
              <w:t>288</w:t>
            </w:r>
            <w:r>
              <w:rPr>
                <w:rFonts w:hint="eastAsia" w:ascii="仿宋" w:hAnsi="仿宋" w:eastAsia="仿宋" w:cs="仿宋"/>
                <w:color w:val="000000"/>
                <w:kern w:val="0"/>
                <w:szCs w:val="21"/>
              </w:rPr>
              <w:t>,</w:t>
            </w:r>
            <w:r>
              <w:rPr>
                <w:rFonts w:ascii="仿宋" w:hAnsi="仿宋" w:eastAsia="仿宋" w:cs="仿宋"/>
                <w:color w:val="000000"/>
                <w:kern w:val="0"/>
                <w:szCs w:val="21"/>
              </w:rPr>
              <w:t>882.31</w:t>
            </w:r>
          </w:p>
        </w:tc>
        <w:tc>
          <w:tcPr>
            <w:tcW w:w="708" w:type="dxa"/>
          </w:tcPr>
          <w:p>
            <w:pPr>
              <w:widowControl/>
              <w:jc w:val="center"/>
              <w:textAlignment w:val="center"/>
              <w:rPr>
                <w:rFonts w:ascii="仿宋" w:hAnsi="仿宋" w:eastAsia="仿宋" w:cs="仿宋"/>
                <w:b/>
                <w:color w:val="000000"/>
                <w:kern w:val="0"/>
                <w:szCs w:val="21"/>
              </w:rPr>
            </w:pP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182,329,470.74</w:t>
            </w:r>
          </w:p>
        </w:tc>
        <w:tc>
          <w:tcPr>
            <w:tcW w:w="419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菏泽市格林食品有限公司、自然人孙德林、吴玉真提供最高额2.5亿元连带保证担保，菏泽巨鑫源食品有限公司、菏泽市格林食品有限公司以其名下土地使用权及房产提供最高额2.5亿元抵押担保。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28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w:t>
            </w:r>
          </w:p>
        </w:tc>
        <w:tc>
          <w:tcPr>
            <w:tcW w:w="1705"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山东奥戈瑞轮胎有限公司</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53</w:t>
            </w:r>
            <w:r>
              <w:rPr>
                <w:rFonts w:hint="eastAsia" w:ascii="仿宋" w:hAnsi="仿宋" w:eastAsia="仿宋" w:cs="仿宋"/>
                <w:color w:val="000000"/>
                <w:szCs w:val="21"/>
              </w:rPr>
              <w:t>,</w:t>
            </w:r>
            <w:r>
              <w:rPr>
                <w:rFonts w:ascii="仿宋" w:hAnsi="仿宋" w:eastAsia="仿宋" w:cs="仿宋"/>
                <w:color w:val="000000"/>
                <w:szCs w:val="21"/>
              </w:rPr>
              <w:t>425</w:t>
            </w:r>
            <w:r>
              <w:rPr>
                <w:rFonts w:hint="eastAsia" w:ascii="仿宋" w:hAnsi="仿宋" w:eastAsia="仿宋" w:cs="仿宋"/>
                <w:color w:val="000000"/>
                <w:szCs w:val="21"/>
              </w:rPr>
              <w:t>,</w:t>
            </w:r>
            <w:r>
              <w:rPr>
                <w:rFonts w:ascii="仿宋" w:hAnsi="仿宋" w:eastAsia="仿宋" w:cs="仿宋"/>
                <w:color w:val="000000"/>
                <w:szCs w:val="21"/>
              </w:rPr>
              <w:t>239.21</w:t>
            </w:r>
          </w:p>
        </w:tc>
        <w:tc>
          <w:tcPr>
            <w:tcW w:w="1134"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10</w:t>
            </w:r>
            <w:r>
              <w:rPr>
                <w:rFonts w:hint="eastAsia" w:ascii="仿宋" w:hAnsi="仿宋" w:eastAsia="仿宋" w:cs="仿宋"/>
                <w:color w:val="000000"/>
                <w:kern w:val="0"/>
                <w:szCs w:val="21"/>
              </w:rPr>
              <w:t>,</w:t>
            </w:r>
            <w:r>
              <w:rPr>
                <w:rFonts w:ascii="仿宋" w:hAnsi="仿宋" w:eastAsia="仿宋" w:cs="仿宋"/>
                <w:color w:val="000000"/>
                <w:kern w:val="0"/>
                <w:szCs w:val="21"/>
              </w:rPr>
              <w:t>827</w:t>
            </w:r>
            <w:r>
              <w:rPr>
                <w:rFonts w:hint="eastAsia" w:ascii="仿宋" w:hAnsi="仿宋" w:eastAsia="仿宋" w:cs="仿宋"/>
                <w:color w:val="000000"/>
                <w:kern w:val="0"/>
                <w:szCs w:val="21"/>
              </w:rPr>
              <w:t>,</w:t>
            </w:r>
            <w:r>
              <w:rPr>
                <w:rFonts w:ascii="仿宋" w:hAnsi="仿宋" w:eastAsia="仿宋" w:cs="仿宋"/>
                <w:color w:val="000000"/>
                <w:kern w:val="0"/>
                <w:szCs w:val="21"/>
              </w:rPr>
              <w:t>142.22</w:t>
            </w:r>
          </w:p>
        </w:tc>
        <w:tc>
          <w:tcPr>
            <w:tcW w:w="708" w:type="dxa"/>
          </w:tcPr>
          <w:p>
            <w:pPr>
              <w:widowControl/>
              <w:jc w:val="center"/>
              <w:textAlignment w:val="center"/>
              <w:rPr>
                <w:rFonts w:ascii="仿宋" w:hAnsi="仿宋" w:eastAsia="仿宋" w:cs="仿宋"/>
                <w:color w:val="000000"/>
                <w:szCs w:val="21"/>
              </w:rPr>
            </w:pP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64,252,381.43</w:t>
            </w:r>
          </w:p>
        </w:tc>
        <w:tc>
          <w:tcPr>
            <w:tcW w:w="419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奥戈瑞车轮集团有限公司、盛泰集团有限公司、山东金茂纺织化工集团有限公司、</w:t>
            </w:r>
          </w:p>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自然人王子荣、隋元珍提供最高额4500万元连带保证担保。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2" w:hRule="atLeast"/>
          <w:jc w:val="center"/>
        </w:trPr>
        <w:tc>
          <w:tcPr>
            <w:tcW w:w="28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w:t>
            </w:r>
          </w:p>
        </w:tc>
        <w:tc>
          <w:tcPr>
            <w:tcW w:w="1705"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青岛贯凯贸易有限公司</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szCs w:val="21"/>
              </w:rPr>
              <w:t>38</w:t>
            </w:r>
            <w:r>
              <w:rPr>
                <w:rFonts w:hint="eastAsia" w:ascii="仿宋" w:hAnsi="仿宋" w:eastAsia="仿宋" w:cs="仿宋"/>
                <w:color w:val="000000"/>
                <w:szCs w:val="21"/>
              </w:rPr>
              <w:t>,</w:t>
            </w:r>
            <w:r>
              <w:rPr>
                <w:rFonts w:ascii="仿宋" w:hAnsi="仿宋" w:eastAsia="仿宋" w:cs="仿宋"/>
                <w:color w:val="000000"/>
                <w:szCs w:val="21"/>
              </w:rPr>
              <w:t>842</w:t>
            </w:r>
            <w:r>
              <w:rPr>
                <w:rFonts w:hint="eastAsia" w:ascii="仿宋" w:hAnsi="仿宋" w:eastAsia="仿宋" w:cs="仿宋"/>
                <w:color w:val="000000"/>
                <w:szCs w:val="21"/>
              </w:rPr>
              <w:t>,</w:t>
            </w:r>
            <w:r>
              <w:rPr>
                <w:rFonts w:ascii="仿宋" w:hAnsi="仿宋" w:eastAsia="仿宋" w:cs="仿宋"/>
                <w:color w:val="000000"/>
                <w:szCs w:val="21"/>
              </w:rPr>
              <w:t>287.94</w:t>
            </w:r>
          </w:p>
        </w:tc>
        <w:tc>
          <w:tcPr>
            <w:tcW w:w="1134"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ascii="仿宋" w:hAnsi="仿宋" w:eastAsia="仿宋" w:cs="仿宋"/>
                <w:color w:val="000000"/>
                <w:kern w:val="0"/>
                <w:szCs w:val="21"/>
              </w:rPr>
              <w:t>7</w:t>
            </w:r>
            <w:r>
              <w:rPr>
                <w:rFonts w:hint="eastAsia" w:ascii="仿宋" w:hAnsi="仿宋" w:eastAsia="仿宋" w:cs="仿宋"/>
                <w:color w:val="000000"/>
                <w:kern w:val="0"/>
                <w:szCs w:val="21"/>
              </w:rPr>
              <w:t>,</w:t>
            </w:r>
            <w:r>
              <w:rPr>
                <w:rFonts w:ascii="仿宋" w:hAnsi="仿宋" w:eastAsia="仿宋" w:cs="仿宋"/>
                <w:color w:val="000000"/>
                <w:kern w:val="0"/>
                <w:szCs w:val="21"/>
              </w:rPr>
              <w:t>114</w:t>
            </w:r>
            <w:r>
              <w:rPr>
                <w:rFonts w:hint="eastAsia" w:ascii="仿宋" w:hAnsi="仿宋" w:eastAsia="仿宋" w:cs="仿宋"/>
                <w:color w:val="000000"/>
                <w:kern w:val="0"/>
                <w:szCs w:val="21"/>
              </w:rPr>
              <w:t>,</w:t>
            </w:r>
            <w:r>
              <w:rPr>
                <w:rFonts w:ascii="仿宋" w:hAnsi="仿宋" w:eastAsia="仿宋" w:cs="仿宋"/>
                <w:color w:val="000000"/>
                <w:kern w:val="0"/>
                <w:szCs w:val="21"/>
              </w:rPr>
              <w:t>366.13</w:t>
            </w:r>
          </w:p>
        </w:tc>
        <w:tc>
          <w:tcPr>
            <w:tcW w:w="708" w:type="dxa"/>
          </w:tcPr>
          <w:p>
            <w:pPr>
              <w:widowControl/>
              <w:jc w:val="center"/>
              <w:textAlignment w:val="center"/>
              <w:rPr>
                <w:rFonts w:ascii="仿宋" w:hAnsi="仿宋" w:eastAsia="仿宋" w:cs="仿宋"/>
                <w:color w:val="000000"/>
                <w:szCs w:val="21"/>
              </w:rPr>
            </w:pP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45,956,654.07</w:t>
            </w:r>
          </w:p>
        </w:tc>
        <w:tc>
          <w:tcPr>
            <w:tcW w:w="419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青岛卓越千亚国际贸易有限公司、山东正顺车轮有限公司、山东奥戈瑞轮胎有限公司、奥戈瑞车轮集团有限公司、盛泰集团有限公司、山东金茂纺织化工集团有限公司、自然人王子荣、隋元珍对1700万元、2300万元两笔贷款提供连带保证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28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w:t>
            </w:r>
          </w:p>
        </w:tc>
        <w:tc>
          <w:tcPr>
            <w:tcW w:w="1705"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青岛恒运源铜业有限公司</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14</w:t>
            </w:r>
            <w:r>
              <w:rPr>
                <w:rFonts w:hint="eastAsia" w:ascii="仿宋" w:hAnsi="仿宋" w:eastAsia="仿宋" w:cs="仿宋"/>
                <w:color w:val="000000"/>
                <w:kern w:val="0"/>
                <w:szCs w:val="21"/>
              </w:rPr>
              <w:t>,</w:t>
            </w:r>
            <w:r>
              <w:rPr>
                <w:rFonts w:ascii="仿宋" w:hAnsi="仿宋" w:eastAsia="仿宋" w:cs="仿宋"/>
                <w:color w:val="000000"/>
                <w:kern w:val="0"/>
                <w:szCs w:val="21"/>
              </w:rPr>
              <w:t>969</w:t>
            </w:r>
            <w:r>
              <w:rPr>
                <w:rFonts w:hint="eastAsia" w:ascii="仿宋" w:hAnsi="仿宋" w:eastAsia="仿宋" w:cs="仿宋"/>
                <w:color w:val="000000"/>
                <w:kern w:val="0"/>
                <w:szCs w:val="21"/>
              </w:rPr>
              <w:t>,</w:t>
            </w:r>
            <w:r>
              <w:rPr>
                <w:rFonts w:ascii="仿宋" w:hAnsi="仿宋" w:eastAsia="仿宋" w:cs="仿宋"/>
                <w:color w:val="000000"/>
                <w:kern w:val="0"/>
                <w:szCs w:val="21"/>
              </w:rPr>
              <w:t>995.33</w:t>
            </w:r>
          </w:p>
        </w:tc>
        <w:tc>
          <w:tcPr>
            <w:tcW w:w="1134"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4</w:t>
            </w:r>
            <w:r>
              <w:rPr>
                <w:rFonts w:hint="eastAsia" w:ascii="仿宋" w:hAnsi="仿宋" w:eastAsia="仿宋" w:cs="仿宋"/>
                <w:color w:val="000000"/>
                <w:kern w:val="0"/>
                <w:szCs w:val="21"/>
              </w:rPr>
              <w:t>,</w:t>
            </w:r>
            <w:r>
              <w:rPr>
                <w:rFonts w:ascii="仿宋" w:hAnsi="仿宋" w:eastAsia="仿宋" w:cs="仿宋"/>
                <w:color w:val="000000"/>
                <w:kern w:val="0"/>
                <w:szCs w:val="21"/>
              </w:rPr>
              <w:t>486</w:t>
            </w:r>
            <w:r>
              <w:rPr>
                <w:rFonts w:hint="eastAsia" w:ascii="仿宋" w:hAnsi="仿宋" w:eastAsia="仿宋" w:cs="仿宋"/>
                <w:color w:val="000000"/>
                <w:kern w:val="0"/>
                <w:szCs w:val="21"/>
              </w:rPr>
              <w:t>,</w:t>
            </w:r>
            <w:r>
              <w:rPr>
                <w:rFonts w:ascii="仿宋" w:hAnsi="仿宋" w:eastAsia="仿宋" w:cs="仿宋"/>
                <w:color w:val="000000"/>
                <w:kern w:val="0"/>
                <w:szCs w:val="21"/>
              </w:rPr>
              <w:t>484.76</w:t>
            </w:r>
          </w:p>
        </w:tc>
        <w:tc>
          <w:tcPr>
            <w:tcW w:w="708" w:type="dxa"/>
          </w:tcPr>
          <w:p>
            <w:pPr>
              <w:widowControl/>
              <w:jc w:val="center"/>
              <w:textAlignment w:val="center"/>
              <w:rPr>
                <w:rFonts w:ascii="仿宋" w:hAnsi="仿宋" w:eastAsia="仿宋" w:cs="仿宋"/>
                <w:color w:val="000000"/>
                <w:szCs w:val="21"/>
              </w:rPr>
            </w:pPr>
          </w:p>
          <w:p>
            <w:pPr>
              <w:widowControl/>
              <w:ind w:firstLine="210" w:firstLineChars="100"/>
              <w:textAlignment w:val="center"/>
              <w:rPr>
                <w:rFonts w:ascii="仿宋" w:hAnsi="仿宋" w:eastAsia="仿宋" w:cs="仿宋"/>
                <w:color w:val="000000"/>
                <w:szCs w:val="21"/>
              </w:rPr>
            </w:pPr>
            <w:r>
              <w:rPr>
                <w:rFonts w:ascii="仿宋" w:hAnsi="仿宋" w:eastAsia="仿宋" w:cs="仿宋"/>
                <w:color w:val="000000"/>
                <w:szCs w:val="21"/>
              </w:rPr>
              <w:t>76</w:t>
            </w:r>
            <w:r>
              <w:rPr>
                <w:rFonts w:hint="eastAsia" w:ascii="仿宋" w:hAnsi="仿宋" w:eastAsia="仿宋" w:cs="仿宋"/>
                <w:color w:val="000000"/>
                <w:szCs w:val="21"/>
              </w:rPr>
              <w:t>,</w:t>
            </w:r>
            <w:r>
              <w:rPr>
                <w:rFonts w:ascii="仿宋" w:hAnsi="仿宋" w:eastAsia="仿宋" w:cs="仿宋"/>
                <w:color w:val="000000"/>
                <w:szCs w:val="21"/>
              </w:rPr>
              <w:t>621</w:t>
            </w:r>
            <w:r>
              <w:rPr>
                <w:rFonts w:hint="eastAsia" w:ascii="仿宋" w:hAnsi="仿宋" w:eastAsia="仿宋" w:cs="仿宋"/>
                <w:color w:val="000000"/>
                <w:szCs w:val="21"/>
              </w:rPr>
              <w:t>.00</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19,533,101.09</w:t>
            </w:r>
          </w:p>
        </w:tc>
        <w:tc>
          <w:tcPr>
            <w:tcW w:w="419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青岛创佳铜业有限公司、青岛创达电工材料有限公司、青岛信邦机电科技有限公司、青岛昂迪车业有限公司、自然人隋广义、王传信、潘文英提供最高额1500万元连带保证担保。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28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705"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青岛柏丰源国际贸易有限公司</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15</w:t>
            </w:r>
            <w:r>
              <w:rPr>
                <w:rFonts w:hint="eastAsia" w:ascii="仿宋" w:hAnsi="仿宋" w:eastAsia="仿宋" w:cs="仿宋"/>
                <w:color w:val="000000"/>
                <w:kern w:val="0"/>
                <w:szCs w:val="21"/>
              </w:rPr>
              <w:t>,</w:t>
            </w:r>
            <w:r>
              <w:rPr>
                <w:rFonts w:ascii="仿宋" w:hAnsi="仿宋" w:eastAsia="仿宋" w:cs="仿宋"/>
                <w:color w:val="000000"/>
                <w:kern w:val="0"/>
                <w:szCs w:val="21"/>
              </w:rPr>
              <w:t>480</w:t>
            </w:r>
            <w:r>
              <w:rPr>
                <w:rFonts w:hint="eastAsia" w:ascii="仿宋" w:hAnsi="仿宋" w:eastAsia="仿宋" w:cs="仿宋"/>
                <w:color w:val="000000"/>
                <w:kern w:val="0"/>
                <w:szCs w:val="21"/>
              </w:rPr>
              <w:t>,</w:t>
            </w:r>
            <w:r>
              <w:rPr>
                <w:rFonts w:ascii="仿宋" w:hAnsi="仿宋" w:eastAsia="仿宋" w:cs="仿宋"/>
                <w:color w:val="000000"/>
                <w:kern w:val="0"/>
                <w:szCs w:val="21"/>
              </w:rPr>
              <w:t>519.64</w:t>
            </w:r>
          </w:p>
        </w:tc>
        <w:tc>
          <w:tcPr>
            <w:tcW w:w="1134"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3</w:t>
            </w:r>
            <w:r>
              <w:rPr>
                <w:rFonts w:hint="eastAsia" w:ascii="仿宋" w:hAnsi="仿宋" w:eastAsia="仿宋" w:cs="仿宋"/>
                <w:color w:val="000000"/>
                <w:kern w:val="0"/>
                <w:szCs w:val="21"/>
              </w:rPr>
              <w:t>,</w:t>
            </w:r>
            <w:r>
              <w:rPr>
                <w:rFonts w:ascii="仿宋" w:hAnsi="仿宋" w:eastAsia="仿宋" w:cs="仿宋"/>
                <w:color w:val="000000"/>
                <w:kern w:val="0"/>
                <w:szCs w:val="21"/>
              </w:rPr>
              <w:t>402</w:t>
            </w:r>
            <w:r>
              <w:rPr>
                <w:rFonts w:hint="eastAsia" w:ascii="仿宋" w:hAnsi="仿宋" w:eastAsia="仿宋" w:cs="仿宋"/>
                <w:color w:val="000000"/>
                <w:kern w:val="0"/>
                <w:szCs w:val="21"/>
              </w:rPr>
              <w:t>,</w:t>
            </w:r>
            <w:r>
              <w:rPr>
                <w:rFonts w:ascii="仿宋" w:hAnsi="仿宋" w:eastAsia="仿宋" w:cs="仿宋"/>
                <w:color w:val="000000"/>
                <w:kern w:val="0"/>
                <w:szCs w:val="21"/>
              </w:rPr>
              <w:t>368.24</w:t>
            </w:r>
          </w:p>
        </w:tc>
        <w:tc>
          <w:tcPr>
            <w:tcW w:w="708" w:type="dxa"/>
          </w:tcPr>
          <w:p>
            <w:pPr>
              <w:widowControl/>
              <w:jc w:val="center"/>
              <w:textAlignment w:val="center"/>
              <w:rPr>
                <w:rFonts w:ascii="仿宋" w:hAnsi="仿宋" w:eastAsia="仿宋" w:cs="仿宋"/>
                <w:color w:val="000000"/>
                <w:szCs w:val="21"/>
              </w:rPr>
            </w:pP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18,882,887.88</w:t>
            </w:r>
          </w:p>
        </w:tc>
        <w:tc>
          <w:tcPr>
            <w:tcW w:w="419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青岛鸣浩达轮胎有限公司、山东惠行天下商贸有限公司、青岛富乐国际贸易有限公司、自然人梁进、逯慧卿提供最高额1890万元连带保证担保，青岛柏丰源国际贸易有限公司和青岛鸣浩达轮胎有限公司以其现有及未来五年内到期的全部应收账款提供最高额1890万元质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28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6</w:t>
            </w:r>
          </w:p>
        </w:tc>
        <w:tc>
          <w:tcPr>
            <w:tcW w:w="1705"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山东永力起重机械股份有限公司</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39</w:t>
            </w:r>
            <w:r>
              <w:rPr>
                <w:rFonts w:hint="eastAsia" w:ascii="仿宋" w:hAnsi="仿宋" w:eastAsia="仿宋" w:cs="仿宋"/>
                <w:color w:val="000000"/>
                <w:kern w:val="0"/>
                <w:szCs w:val="21"/>
              </w:rPr>
              <w:t>,</w:t>
            </w:r>
            <w:r>
              <w:rPr>
                <w:rFonts w:ascii="仿宋" w:hAnsi="仿宋" w:eastAsia="仿宋" w:cs="仿宋"/>
                <w:color w:val="000000"/>
                <w:kern w:val="0"/>
                <w:szCs w:val="21"/>
              </w:rPr>
              <w:t>999</w:t>
            </w:r>
            <w:r>
              <w:rPr>
                <w:rFonts w:hint="eastAsia" w:ascii="仿宋" w:hAnsi="仿宋" w:eastAsia="仿宋" w:cs="仿宋"/>
                <w:color w:val="000000"/>
                <w:kern w:val="0"/>
                <w:szCs w:val="21"/>
              </w:rPr>
              <w:t>,</w:t>
            </w:r>
            <w:r>
              <w:rPr>
                <w:rFonts w:ascii="仿宋" w:hAnsi="仿宋" w:eastAsia="仿宋" w:cs="仿宋"/>
                <w:color w:val="000000"/>
                <w:kern w:val="0"/>
                <w:szCs w:val="21"/>
              </w:rPr>
              <w:t>056.48</w:t>
            </w:r>
          </w:p>
        </w:tc>
        <w:tc>
          <w:tcPr>
            <w:tcW w:w="1134"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15</w:t>
            </w:r>
            <w:r>
              <w:rPr>
                <w:rFonts w:hint="eastAsia" w:ascii="仿宋" w:hAnsi="仿宋" w:eastAsia="仿宋" w:cs="仿宋"/>
                <w:color w:val="000000"/>
                <w:kern w:val="0"/>
                <w:szCs w:val="21"/>
              </w:rPr>
              <w:t>,</w:t>
            </w:r>
            <w:r>
              <w:rPr>
                <w:rFonts w:ascii="仿宋" w:hAnsi="仿宋" w:eastAsia="仿宋" w:cs="仿宋"/>
                <w:color w:val="000000"/>
                <w:kern w:val="0"/>
                <w:szCs w:val="21"/>
              </w:rPr>
              <w:t>654</w:t>
            </w:r>
            <w:r>
              <w:rPr>
                <w:rFonts w:hint="eastAsia" w:ascii="仿宋" w:hAnsi="仿宋" w:eastAsia="仿宋" w:cs="仿宋"/>
                <w:color w:val="000000"/>
                <w:kern w:val="0"/>
                <w:szCs w:val="21"/>
              </w:rPr>
              <w:t>,</w:t>
            </w:r>
            <w:r>
              <w:rPr>
                <w:rFonts w:ascii="仿宋" w:hAnsi="仿宋" w:eastAsia="仿宋" w:cs="仿宋"/>
                <w:color w:val="000000"/>
                <w:kern w:val="0"/>
                <w:szCs w:val="21"/>
              </w:rPr>
              <w:t>238.37</w:t>
            </w:r>
          </w:p>
        </w:tc>
        <w:tc>
          <w:tcPr>
            <w:tcW w:w="708" w:type="dxa"/>
          </w:tcPr>
          <w:p>
            <w:pPr>
              <w:widowControl/>
              <w:jc w:val="center"/>
              <w:textAlignment w:val="center"/>
              <w:rPr>
                <w:rFonts w:ascii="仿宋" w:hAnsi="仿宋" w:eastAsia="仿宋" w:cs="仿宋"/>
                <w:color w:val="000000"/>
                <w:szCs w:val="21"/>
              </w:rPr>
            </w:pPr>
          </w:p>
          <w:p>
            <w:pPr>
              <w:widowControl/>
              <w:jc w:val="center"/>
              <w:textAlignment w:val="center"/>
              <w:rPr>
                <w:rFonts w:ascii="仿宋" w:hAnsi="仿宋" w:eastAsia="仿宋" w:cs="仿宋"/>
                <w:color w:val="000000"/>
                <w:szCs w:val="21"/>
              </w:rPr>
            </w:pP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251,612.00</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55,904,906.85</w:t>
            </w:r>
          </w:p>
        </w:tc>
        <w:tc>
          <w:tcPr>
            <w:tcW w:w="419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山东永力钢构股份有限公司、山东永力重工科技发展有限公司、山东合力新材料有限公司、自然人文继功、文继美提供最高额8000万元连带保证担保，山东永力重工科技发展有限公司以其名下机械设备提供最高额8000万元抵押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28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7</w:t>
            </w:r>
          </w:p>
        </w:tc>
        <w:tc>
          <w:tcPr>
            <w:tcW w:w="1705"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山东合力新材料有限公司</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8</w:t>
            </w:r>
            <w:r>
              <w:rPr>
                <w:rFonts w:hint="eastAsia" w:ascii="仿宋" w:hAnsi="仿宋" w:eastAsia="仿宋" w:cs="仿宋"/>
                <w:color w:val="000000"/>
                <w:kern w:val="0"/>
                <w:szCs w:val="21"/>
              </w:rPr>
              <w:t>,</w:t>
            </w:r>
            <w:r>
              <w:rPr>
                <w:rFonts w:ascii="仿宋" w:hAnsi="仿宋" w:eastAsia="仿宋" w:cs="仿宋"/>
                <w:color w:val="000000"/>
                <w:kern w:val="0"/>
                <w:szCs w:val="21"/>
              </w:rPr>
              <w:t>950</w:t>
            </w:r>
            <w:r>
              <w:rPr>
                <w:rFonts w:hint="eastAsia" w:ascii="仿宋" w:hAnsi="仿宋" w:eastAsia="仿宋" w:cs="仿宋"/>
                <w:color w:val="000000"/>
                <w:kern w:val="0"/>
                <w:szCs w:val="21"/>
              </w:rPr>
              <w:t>,</w:t>
            </w:r>
            <w:r>
              <w:rPr>
                <w:rFonts w:ascii="仿宋" w:hAnsi="仿宋" w:eastAsia="仿宋" w:cs="仿宋"/>
                <w:color w:val="000000"/>
                <w:kern w:val="0"/>
                <w:szCs w:val="21"/>
              </w:rPr>
              <w:t>000</w:t>
            </w:r>
            <w:r>
              <w:rPr>
                <w:rFonts w:hint="eastAsia" w:ascii="仿宋" w:hAnsi="仿宋" w:eastAsia="仿宋" w:cs="仿宋"/>
                <w:color w:val="000000"/>
                <w:kern w:val="0"/>
                <w:szCs w:val="21"/>
              </w:rPr>
              <w:t>.00</w:t>
            </w:r>
          </w:p>
        </w:tc>
        <w:tc>
          <w:tcPr>
            <w:tcW w:w="1134"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w:t>
            </w:r>
            <w:r>
              <w:rPr>
                <w:rFonts w:hint="eastAsia" w:ascii="仿宋" w:hAnsi="仿宋" w:eastAsia="仿宋" w:cs="仿宋"/>
                <w:color w:val="000000"/>
                <w:kern w:val="0"/>
                <w:szCs w:val="21"/>
              </w:rPr>
              <w:t>,</w:t>
            </w:r>
            <w:r>
              <w:rPr>
                <w:rFonts w:ascii="仿宋" w:hAnsi="仿宋" w:eastAsia="仿宋" w:cs="仿宋"/>
                <w:color w:val="000000"/>
                <w:kern w:val="0"/>
                <w:szCs w:val="21"/>
              </w:rPr>
              <w:t>256</w:t>
            </w:r>
            <w:r>
              <w:rPr>
                <w:rFonts w:hint="eastAsia" w:ascii="仿宋" w:hAnsi="仿宋" w:eastAsia="仿宋" w:cs="仿宋"/>
                <w:color w:val="000000"/>
                <w:kern w:val="0"/>
                <w:szCs w:val="21"/>
              </w:rPr>
              <w:t>,</w:t>
            </w:r>
            <w:r>
              <w:rPr>
                <w:rFonts w:ascii="仿宋" w:hAnsi="仿宋" w:eastAsia="仿宋" w:cs="仿宋"/>
                <w:color w:val="000000"/>
                <w:kern w:val="0"/>
                <w:szCs w:val="21"/>
              </w:rPr>
              <w:t>453.77</w:t>
            </w:r>
          </w:p>
        </w:tc>
        <w:tc>
          <w:tcPr>
            <w:tcW w:w="708" w:type="dxa"/>
          </w:tcPr>
          <w:p>
            <w:pPr>
              <w:widowControl/>
              <w:jc w:val="center"/>
              <w:textAlignment w:val="center"/>
              <w:rPr>
                <w:rFonts w:ascii="仿宋" w:hAnsi="仿宋" w:eastAsia="仿宋" w:cs="仿宋"/>
                <w:color w:val="000000"/>
                <w:szCs w:val="21"/>
              </w:rPr>
            </w:pP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79,458.83</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10,285,912.60</w:t>
            </w:r>
          </w:p>
        </w:tc>
        <w:tc>
          <w:tcPr>
            <w:tcW w:w="419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山东永力钢构股份有限公司、山东永力起重机械股份有限公司、青州市三力橡胶骨架材料有限公司、自然人李国周、文继功提供最高额895万元连带保证担保。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282"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1705" w:type="dxa"/>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Cs w:val="21"/>
              </w:rPr>
            </w:pPr>
            <w:r>
              <w:rPr>
                <w:rFonts w:hint="eastAsia" w:ascii="仿宋" w:hAnsi="仿宋" w:eastAsia="仿宋" w:cs="仿宋"/>
                <w:b/>
                <w:color w:val="000000"/>
                <w:kern w:val="0"/>
                <w:szCs w:val="21"/>
              </w:rPr>
              <w:t>青岛绿丰食品有限公司</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14</w:t>
            </w:r>
            <w:r>
              <w:rPr>
                <w:rFonts w:hint="eastAsia" w:ascii="仿宋" w:hAnsi="仿宋" w:eastAsia="仿宋" w:cs="仿宋"/>
                <w:color w:val="000000"/>
                <w:kern w:val="0"/>
                <w:szCs w:val="21"/>
              </w:rPr>
              <w:t>,</w:t>
            </w:r>
            <w:r>
              <w:rPr>
                <w:rFonts w:ascii="仿宋" w:hAnsi="仿宋" w:eastAsia="仿宋" w:cs="仿宋"/>
                <w:color w:val="000000"/>
                <w:kern w:val="0"/>
                <w:szCs w:val="21"/>
              </w:rPr>
              <w:t>961</w:t>
            </w:r>
            <w:r>
              <w:rPr>
                <w:rFonts w:hint="eastAsia" w:ascii="仿宋" w:hAnsi="仿宋" w:eastAsia="仿宋" w:cs="仿宋"/>
                <w:color w:val="000000"/>
                <w:kern w:val="0"/>
                <w:szCs w:val="21"/>
              </w:rPr>
              <w:t>,</w:t>
            </w:r>
            <w:r>
              <w:rPr>
                <w:rFonts w:ascii="仿宋" w:hAnsi="仿宋" w:eastAsia="仿宋" w:cs="仿宋"/>
                <w:color w:val="000000"/>
                <w:kern w:val="0"/>
                <w:szCs w:val="21"/>
              </w:rPr>
              <w:t>525</w:t>
            </w:r>
            <w:r>
              <w:rPr>
                <w:rFonts w:hint="eastAsia" w:ascii="仿宋" w:hAnsi="仿宋" w:eastAsia="仿宋" w:cs="仿宋"/>
                <w:color w:val="000000"/>
                <w:kern w:val="0"/>
                <w:szCs w:val="21"/>
              </w:rPr>
              <w:t>.00</w:t>
            </w:r>
          </w:p>
        </w:tc>
        <w:tc>
          <w:tcPr>
            <w:tcW w:w="1134"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ascii="仿宋" w:hAnsi="仿宋" w:eastAsia="仿宋" w:cs="仿宋"/>
                <w:color w:val="000000"/>
                <w:kern w:val="0"/>
                <w:szCs w:val="21"/>
              </w:rPr>
              <w:t>3</w:t>
            </w:r>
            <w:r>
              <w:rPr>
                <w:rFonts w:hint="eastAsia" w:ascii="仿宋" w:hAnsi="仿宋" w:eastAsia="仿宋" w:cs="仿宋"/>
                <w:color w:val="000000"/>
                <w:kern w:val="0"/>
                <w:szCs w:val="21"/>
              </w:rPr>
              <w:t>,</w:t>
            </w:r>
            <w:r>
              <w:rPr>
                <w:rFonts w:ascii="仿宋" w:hAnsi="仿宋" w:eastAsia="仿宋" w:cs="仿宋"/>
                <w:color w:val="000000"/>
                <w:kern w:val="0"/>
                <w:szCs w:val="21"/>
              </w:rPr>
              <w:t>627</w:t>
            </w:r>
            <w:r>
              <w:rPr>
                <w:rFonts w:hint="eastAsia" w:ascii="仿宋" w:hAnsi="仿宋" w:eastAsia="仿宋" w:cs="仿宋"/>
                <w:color w:val="000000"/>
                <w:kern w:val="0"/>
                <w:szCs w:val="21"/>
              </w:rPr>
              <w:t>,</w:t>
            </w:r>
            <w:r>
              <w:rPr>
                <w:rFonts w:ascii="仿宋" w:hAnsi="仿宋" w:eastAsia="仿宋" w:cs="仿宋"/>
                <w:color w:val="000000"/>
                <w:kern w:val="0"/>
                <w:szCs w:val="21"/>
              </w:rPr>
              <w:t>613.35</w:t>
            </w:r>
          </w:p>
        </w:tc>
        <w:tc>
          <w:tcPr>
            <w:tcW w:w="708" w:type="dxa"/>
          </w:tcPr>
          <w:p>
            <w:pPr>
              <w:widowControl/>
              <w:jc w:val="center"/>
              <w:textAlignment w:val="center"/>
              <w:rPr>
                <w:rFonts w:ascii="仿宋" w:hAnsi="仿宋" w:eastAsia="仿宋" w:cs="仿宋"/>
                <w:color w:val="000000"/>
                <w:szCs w:val="21"/>
              </w:rPr>
            </w:pPr>
          </w:p>
          <w:p>
            <w:pPr>
              <w:widowControl/>
              <w:jc w:val="center"/>
              <w:textAlignment w:val="center"/>
              <w:rPr>
                <w:rFonts w:ascii="仿宋" w:hAnsi="仿宋" w:eastAsia="仿宋" w:cs="仿宋"/>
                <w:color w:val="000000"/>
                <w:szCs w:val="21"/>
              </w:rPr>
            </w:pPr>
          </w:p>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124,377.00</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18,713,515.35</w:t>
            </w:r>
          </w:p>
        </w:tc>
        <w:tc>
          <w:tcPr>
            <w:tcW w:w="4196" w:type="dxa"/>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青岛佳元水产（集团）有限公司、青岛元兴食品有限公司、青岛元强食品有限公司、青岛隆源水产品有限公司、青岛佳元迈克食品有限公司提供最高额1500万元连带保证担保。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1987" w:type="dxa"/>
            <w:gridSpan w:val="2"/>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szCs w:val="21"/>
              </w:rPr>
              <w:t>合  计</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ascii="仿宋" w:hAnsi="仿宋" w:eastAsia="仿宋" w:cs="仿宋"/>
                <w:b/>
                <w:color w:val="000000"/>
                <w:szCs w:val="21"/>
              </w:rPr>
              <w:t>339</w:t>
            </w:r>
            <w:r>
              <w:rPr>
                <w:rFonts w:hint="eastAsia" w:ascii="仿宋" w:hAnsi="仿宋" w:eastAsia="仿宋" w:cs="仿宋"/>
                <w:b/>
                <w:color w:val="000000"/>
                <w:szCs w:val="21"/>
              </w:rPr>
              <w:t>,</w:t>
            </w:r>
            <w:r>
              <w:rPr>
                <w:rFonts w:ascii="仿宋" w:hAnsi="仿宋" w:eastAsia="仿宋" w:cs="仿宋"/>
                <w:b/>
                <w:color w:val="000000"/>
                <w:szCs w:val="21"/>
              </w:rPr>
              <w:t>669</w:t>
            </w:r>
            <w:r>
              <w:rPr>
                <w:rFonts w:hint="eastAsia" w:ascii="仿宋" w:hAnsi="仿宋" w:eastAsia="仿宋" w:cs="仿宋"/>
                <w:b/>
                <w:color w:val="000000"/>
                <w:szCs w:val="21"/>
              </w:rPr>
              <w:t>,</w:t>
            </w:r>
            <w:r>
              <w:rPr>
                <w:rFonts w:ascii="仿宋" w:hAnsi="仿宋" w:eastAsia="仿宋" w:cs="仿宋"/>
                <w:b/>
                <w:color w:val="000000"/>
                <w:szCs w:val="21"/>
              </w:rPr>
              <w:t>212.03</w:t>
            </w:r>
          </w:p>
        </w:tc>
        <w:tc>
          <w:tcPr>
            <w:tcW w:w="1134"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ascii="仿宋" w:hAnsi="仿宋" w:eastAsia="仿宋" w:cs="仿宋"/>
                <w:b/>
                <w:color w:val="000000"/>
                <w:szCs w:val="21"/>
              </w:rPr>
              <w:t>75,657,549.15</w:t>
            </w:r>
          </w:p>
        </w:tc>
        <w:tc>
          <w:tcPr>
            <w:tcW w:w="708" w:type="dxa"/>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szCs w:val="21"/>
              </w:rPr>
              <w:t>532,068.83</w:t>
            </w:r>
          </w:p>
        </w:tc>
        <w:tc>
          <w:tcPr>
            <w:tcW w:w="127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r>
              <w:rPr>
                <w:rFonts w:hint="eastAsia" w:ascii="仿宋" w:hAnsi="仿宋" w:eastAsia="仿宋" w:cs="仿宋"/>
                <w:b/>
                <w:color w:val="000000"/>
                <w:szCs w:val="21"/>
              </w:rPr>
              <w:t>415,858,830.01</w:t>
            </w:r>
          </w:p>
        </w:tc>
        <w:tc>
          <w:tcPr>
            <w:tcW w:w="4196" w:type="dxa"/>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Cs w:val="21"/>
              </w:rPr>
            </w:pPr>
          </w:p>
        </w:tc>
      </w:tr>
    </w:tbl>
    <w:p>
      <w:pPr>
        <w:rPr>
          <w:rFonts w:ascii="仿宋_GB2312" w:eastAsia="仿宋_GB2312"/>
          <w:sz w:val="24"/>
        </w:rPr>
      </w:pPr>
      <w:r>
        <w:rPr>
          <w:rFonts w:hint="eastAsia" w:ascii="仿宋_GB2312" w:eastAsia="仿宋_GB2312"/>
          <w:sz w:val="24"/>
        </w:rPr>
        <w:t>注：债权数额最终以贷款资料载明或司法文书确认的为准</w:t>
      </w:r>
    </w:p>
    <w:p>
      <w:pPr>
        <w:jc w:val="center"/>
        <w:rPr>
          <w:rFonts w:ascii="仿宋_GB2312" w:eastAsia="仿宋_GB2312"/>
          <w:b/>
          <w:sz w:val="24"/>
        </w:rPr>
      </w:pPr>
      <w:r>
        <w:rPr>
          <w:rFonts w:hint="eastAsia" w:ascii="仿宋_GB2312" w:eastAsia="仿宋_GB2312"/>
          <w:b/>
          <w:sz w:val="24"/>
        </w:rPr>
        <w:t>附件二：拍卖债权权属文件清单</w:t>
      </w:r>
    </w:p>
    <w:p>
      <w:pPr>
        <w:jc w:val="center"/>
        <w:rPr>
          <w:rFonts w:ascii="仿宋_GB2312" w:eastAsia="仿宋_GB2312"/>
          <w:b/>
          <w:sz w:val="24"/>
        </w:rPr>
      </w:pPr>
    </w:p>
    <w:p>
      <w:pPr>
        <w:pStyle w:val="25"/>
        <w:ind w:left="360" w:firstLine="0" w:firstLineChars="0"/>
        <w:rPr>
          <w:rFonts w:ascii="仿宋_GB2312" w:eastAsia="仿宋_GB2312" w:cs="仿宋_GB2312"/>
          <w:bCs/>
          <w:kern w:val="44"/>
          <w:sz w:val="24"/>
        </w:rPr>
      </w:pPr>
      <w:r>
        <w:rPr>
          <w:rFonts w:hint="eastAsia" w:ascii="仿宋_GB2312" w:eastAsia="仿宋_GB2312" w:cs="仿宋_GB2312"/>
          <w:bCs/>
          <w:kern w:val="44"/>
          <w:sz w:val="24"/>
        </w:rPr>
        <w:t>1.企业名称：菏泽巨鑫源食品有限公司</w:t>
      </w:r>
    </w:p>
    <w:tbl>
      <w:tblPr>
        <w:tblStyle w:val="10"/>
        <w:tblW w:w="8662" w:type="dxa"/>
        <w:tblInd w:w="93" w:type="dxa"/>
        <w:tblLayout w:type="fixed"/>
        <w:tblCellMar>
          <w:top w:w="0" w:type="dxa"/>
          <w:left w:w="108" w:type="dxa"/>
          <w:bottom w:w="0" w:type="dxa"/>
          <w:right w:w="108" w:type="dxa"/>
        </w:tblCellMar>
      </w:tblPr>
      <w:tblGrid>
        <w:gridCol w:w="619"/>
        <w:gridCol w:w="2373"/>
        <w:gridCol w:w="3969"/>
        <w:gridCol w:w="851"/>
        <w:gridCol w:w="850"/>
      </w:tblGrid>
      <w:tr>
        <w:tblPrEx>
          <w:tblCellMar>
            <w:top w:w="0" w:type="dxa"/>
            <w:left w:w="108" w:type="dxa"/>
            <w:bottom w:w="0" w:type="dxa"/>
            <w:right w:w="108" w:type="dxa"/>
          </w:tblCellMar>
        </w:tblPrEx>
        <w:trPr>
          <w:trHeight w:val="600" w:hRule="atLeast"/>
        </w:trPr>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23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重要凭证名称</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编号（如有）</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原件份数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复印件份数</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综合授信额度合同</w:t>
            </w: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平银农青04综字20160808第001号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540"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最高额抵押担保合同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平银农青04额抵字20160808第002、004、005号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房屋他项权证</w:t>
            </w:r>
          </w:p>
        </w:tc>
        <w:tc>
          <w:tcPr>
            <w:tcW w:w="396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曹房他证曹县字第09045号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不动产登记证明</w:t>
            </w:r>
          </w:p>
        </w:tc>
        <w:tc>
          <w:tcPr>
            <w:tcW w:w="396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鲁（2016）曹县不动产证明第0000049号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不动产登记证明</w:t>
            </w:r>
          </w:p>
        </w:tc>
        <w:tc>
          <w:tcPr>
            <w:tcW w:w="396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鲁（2016）曹县不动产证明第0000050号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6</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在建工程抵押登记证明</w:t>
            </w:r>
          </w:p>
        </w:tc>
        <w:tc>
          <w:tcPr>
            <w:tcW w:w="396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曹房建曹县字第00063号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7</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不动产登记证明</w:t>
            </w:r>
          </w:p>
        </w:tc>
        <w:tc>
          <w:tcPr>
            <w:tcW w:w="396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鲁（2016）曹县不动产证明第0000057号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8</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最高额抵押担保合同</w:t>
            </w: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平银（农业）额抵字第D014201705170002号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3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9</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《最高额抵押担保合同》补充协议</w:t>
            </w: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平银（农业）额抵补字第20171116001号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62"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10</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不动产登记证明</w:t>
            </w:r>
          </w:p>
        </w:tc>
        <w:tc>
          <w:tcPr>
            <w:tcW w:w="396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鲁（2017）曹县不动产证明第0000030号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11</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不动产权证书</w:t>
            </w:r>
          </w:p>
        </w:tc>
        <w:tc>
          <w:tcPr>
            <w:tcW w:w="3969" w:type="dxa"/>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（2016）曹县不动产权第0000159号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12</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13</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平银（农业）贷字第B014201608100001号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14</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15</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编号0273059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60"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16</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49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17</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平银（农业）贷字第B014201608260001号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18</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19</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编号1015412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21</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平银（农业）贷字第B014201710240001号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22</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23</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编号1109069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24</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25</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平银（农业）贷字第B014201710240002号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26</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27</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编号1109071</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28</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29</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平银（农业）贷字第B014201710240003号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30</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31</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编号1109074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32</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33</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平银（农业）贷字第B014201711160001号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34</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35</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编号1109075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36</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37</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平银（农业）贷字第B014201711160002号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38</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39</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编号1109072</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40</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平银农青04额保字20160808第003号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41</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最高额抵押担保合同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平银农青04额抵字20160808第006、007号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42</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不动产登记证明</w:t>
            </w:r>
          </w:p>
        </w:tc>
        <w:tc>
          <w:tcPr>
            <w:tcW w:w="396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鲁（2016）曹县不动产证明第0000056号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43</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房屋他项权证</w:t>
            </w:r>
          </w:p>
        </w:tc>
        <w:tc>
          <w:tcPr>
            <w:tcW w:w="396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曹房他证曹县字第09100号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44</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最高额抵押担保合同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平银（农业）额抵字第D014201705170001号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45</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不动产登记证明</w:t>
            </w:r>
          </w:p>
        </w:tc>
        <w:tc>
          <w:tcPr>
            <w:tcW w:w="396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鲁（2017）曹县不动产证明第0000029号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46</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不动产权证书</w:t>
            </w:r>
          </w:p>
        </w:tc>
        <w:tc>
          <w:tcPr>
            <w:tcW w:w="396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（2016）曹县不动产权第0000158号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47</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平银农青04额保字20160808第001号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48</w:t>
            </w:r>
          </w:p>
        </w:tc>
        <w:tc>
          <w:tcPr>
            <w:tcW w:w="2373"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平银农青04额保字20160808第002号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02"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49</w:t>
            </w:r>
          </w:p>
        </w:tc>
        <w:tc>
          <w:tcPr>
            <w:tcW w:w="237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民事诉状</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02"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50</w:t>
            </w:r>
          </w:p>
        </w:tc>
        <w:tc>
          <w:tcPr>
            <w:tcW w:w="237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受理案件通知书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02"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51</w:t>
            </w:r>
          </w:p>
        </w:tc>
        <w:tc>
          <w:tcPr>
            <w:tcW w:w="237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民事裁定书</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（2018）鲁02民初1214-1号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99"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52</w:t>
            </w:r>
          </w:p>
        </w:tc>
        <w:tc>
          <w:tcPr>
            <w:tcW w:w="237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查封、扣押、冻结财产清单、协助执行通知书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02"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53</w:t>
            </w:r>
          </w:p>
        </w:tc>
        <w:tc>
          <w:tcPr>
            <w:tcW w:w="237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民事判决书</w:t>
            </w:r>
          </w:p>
        </w:tc>
        <w:tc>
          <w:tcPr>
            <w:tcW w:w="396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（2018）鲁02民初1214号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02"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54</w:t>
            </w:r>
          </w:p>
        </w:tc>
        <w:tc>
          <w:tcPr>
            <w:tcW w:w="237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强制执行申请书</w:t>
            </w:r>
          </w:p>
        </w:tc>
        <w:tc>
          <w:tcPr>
            <w:tcW w:w="396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02"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55</w:t>
            </w:r>
          </w:p>
        </w:tc>
        <w:tc>
          <w:tcPr>
            <w:tcW w:w="237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执行异议书</w:t>
            </w:r>
          </w:p>
        </w:tc>
        <w:tc>
          <w:tcPr>
            <w:tcW w:w="396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80" w:hRule="atLeast"/>
        </w:trPr>
        <w:tc>
          <w:tcPr>
            <w:tcW w:w="6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56</w:t>
            </w:r>
          </w:p>
        </w:tc>
        <w:tc>
          <w:tcPr>
            <w:tcW w:w="237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执行裁定书</w:t>
            </w:r>
          </w:p>
        </w:tc>
        <w:tc>
          <w:tcPr>
            <w:tcW w:w="3969"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（2019）鲁02执异601、602、603号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bl>
    <w:p>
      <w:pPr>
        <w:pStyle w:val="25"/>
        <w:ind w:left="360" w:firstLine="0" w:firstLineChars="0"/>
        <w:rPr>
          <w:rFonts w:ascii="仿宋_GB2312" w:eastAsia="仿宋_GB2312" w:cs="仿宋_GB2312"/>
          <w:bCs/>
          <w:kern w:val="44"/>
          <w:sz w:val="24"/>
        </w:rPr>
      </w:pPr>
      <w:r>
        <w:rPr>
          <w:rFonts w:hint="eastAsia" w:ascii="仿宋_GB2312" w:eastAsia="仿宋_GB2312" w:cs="仿宋_GB2312"/>
          <w:bCs/>
          <w:kern w:val="44"/>
          <w:sz w:val="24"/>
        </w:rPr>
        <w:t>2.企业名称：山东奥戈瑞轮胎有限公司</w:t>
      </w:r>
    </w:p>
    <w:tbl>
      <w:tblPr>
        <w:tblStyle w:val="10"/>
        <w:tblW w:w="8720" w:type="dxa"/>
        <w:tblInd w:w="93" w:type="dxa"/>
        <w:tblLayout w:type="fixed"/>
        <w:tblCellMar>
          <w:top w:w="0" w:type="dxa"/>
          <w:left w:w="108" w:type="dxa"/>
          <w:bottom w:w="0" w:type="dxa"/>
          <w:right w:w="108" w:type="dxa"/>
        </w:tblCellMar>
      </w:tblPr>
      <w:tblGrid>
        <w:gridCol w:w="620"/>
        <w:gridCol w:w="2380"/>
        <w:gridCol w:w="3920"/>
        <w:gridCol w:w="840"/>
        <w:gridCol w:w="960"/>
      </w:tblGrid>
      <w:tr>
        <w:tblPrEx>
          <w:tblCellMar>
            <w:top w:w="0" w:type="dxa"/>
            <w:left w:w="108" w:type="dxa"/>
            <w:bottom w:w="0" w:type="dxa"/>
            <w:right w:w="108" w:type="dxa"/>
          </w:tblCellMar>
        </w:tblPrEx>
        <w:trPr>
          <w:trHeight w:val="600"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23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重要凭证名称</w:t>
            </w:r>
          </w:p>
        </w:tc>
        <w:tc>
          <w:tcPr>
            <w:tcW w:w="3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编号（如有）</w:t>
            </w:r>
          </w:p>
        </w:tc>
        <w:tc>
          <w:tcPr>
            <w:tcW w:w="8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原件份数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复印件份数</w:t>
            </w:r>
          </w:p>
        </w:tc>
      </w:tr>
      <w:tr>
        <w:tblPrEx>
          <w:tblCellMar>
            <w:top w:w="0" w:type="dxa"/>
            <w:left w:w="108" w:type="dxa"/>
            <w:bottom w:w="0" w:type="dxa"/>
            <w:right w:w="108" w:type="dxa"/>
          </w:tblCellMar>
        </w:tblPrEx>
        <w:trPr>
          <w:trHeight w:val="36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平银（青岛）贷字第C010201704240001号</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编号0370870</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平银（青岛）贷字第C010201706020002号</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编号0370932</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3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8</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6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平银（青岛）贷字第C010201704240001（保001）号</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2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平银（青岛）贷字第C010201706020002（保001）号</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11</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12</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平银（青岛）贷字第C010201704240001（保002）号</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平银（青岛）贷字第C010201706020002（保002）号</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14</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15</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平银（青岛）贷字第C010201704240001（保003）号</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16</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平银（青岛）贷字第C010201706020002（保003）号</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17</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18</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平银（青岛）贷字第C010201704240001（保004）号</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19</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平银（青岛）贷字第C010201706020002（保004）号</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20</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平银（青岛）贷字第C010201704240001（保005）号</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22</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平银（青岛）贷字第C010201706020002（保005）号</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23</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9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24</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民事起诉状</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25</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受理案件通知书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26</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民事判决书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（2018）鲁02民初1385号</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27</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强制执行申请书</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28</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债权认定通知</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72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29</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山东奥戈瑞轮胎有限公司等十六家公司破产财产分配及后续资产处置方案</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30</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债权申报表（金茂纺织）</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31</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山东大海集团有限公司等五十七家公司合并重整计划（草案）</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32</w:t>
            </w:r>
          </w:p>
        </w:tc>
        <w:tc>
          <w:tcPr>
            <w:tcW w:w="238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债权申报、表决、裁定书等材料（盛泰集团）</w:t>
            </w:r>
          </w:p>
        </w:tc>
        <w:tc>
          <w:tcPr>
            <w:tcW w:w="392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bl>
    <w:p>
      <w:pPr>
        <w:pStyle w:val="25"/>
        <w:ind w:left="360" w:firstLine="0" w:firstLineChars="0"/>
        <w:rPr>
          <w:rFonts w:ascii="仿宋_GB2312" w:eastAsia="仿宋_GB2312" w:cs="仿宋_GB2312"/>
          <w:bCs/>
          <w:kern w:val="44"/>
          <w:sz w:val="24"/>
        </w:rPr>
      </w:pPr>
      <w:r>
        <w:rPr>
          <w:rFonts w:hint="eastAsia" w:ascii="仿宋_GB2312" w:eastAsia="仿宋_GB2312" w:cs="仿宋_GB2312"/>
          <w:bCs/>
          <w:kern w:val="44"/>
          <w:sz w:val="24"/>
        </w:rPr>
        <w:t>3.企业名称：青岛贯凯贸易有限公司</w:t>
      </w:r>
    </w:p>
    <w:tbl>
      <w:tblPr>
        <w:tblStyle w:val="10"/>
        <w:tblW w:w="8662" w:type="dxa"/>
        <w:tblInd w:w="93" w:type="dxa"/>
        <w:tblLayout w:type="fixed"/>
        <w:tblCellMar>
          <w:top w:w="0" w:type="dxa"/>
          <w:left w:w="108" w:type="dxa"/>
          <w:bottom w:w="0" w:type="dxa"/>
          <w:right w:w="108" w:type="dxa"/>
        </w:tblCellMar>
      </w:tblPr>
      <w:tblGrid>
        <w:gridCol w:w="620"/>
        <w:gridCol w:w="2372"/>
        <w:gridCol w:w="3969"/>
        <w:gridCol w:w="851"/>
        <w:gridCol w:w="850"/>
      </w:tblGrid>
      <w:tr>
        <w:tblPrEx>
          <w:tblCellMar>
            <w:top w:w="0" w:type="dxa"/>
            <w:left w:w="108" w:type="dxa"/>
            <w:bottom w:w="0" w:type="dxa"/>
            <w:right w:w="108" w:type="dxa"/>
          </w:tblCellMar>
        </w:tblPrEx>
        <w:trPr>
          <w:trHeight w:val="600"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23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重要凭证名称</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编号（如有）</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原件份数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复印件份数</w:t>
            </w:r>
          </w:p>
        </w:tc>
      </w:tr>
      <w:tr>
        <w:tblPrEx>
          <w:tblCellMar>
            <w:top w:w="0" w:type="dxa"/>
            <w:left w:w="108" w:type="dxa"/>
            <w:bottom w:w="0" w:type="dxa"/>
            <w:right w:w="108" w:type="dxa"/>
          </w:tblCellMar>
        </w:tblPrEx>
        <w:trPr>
          <w:trHeight w:val="36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平银（青岛）贷字第C010201706050001号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编号0370934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平银（青岛）贷字第C010201704260001号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编号0370874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3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8</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6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平银（青岛）贷字第C010201706050001（保001）号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2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平银（青岛）贷字第C010201704260001（保001）号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11</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12</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平银（青岛）贷字第C010201706050001（保002）号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平银（青岛）贷字第C010201704260001（保003）号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14</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15</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平银（青岛）贷字第C010201706050001（保003）号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16</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平银（青岛）贷字第C010201704260001（保004）号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17</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18</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平银（青岛）贷字第C010201706050001（保004）号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19</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平银（青岛）贷字第C010201704260001（保002）号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20</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平银（青岛）贷字第C010201706050001（保005）号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22</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平银（青岛）贷字第C010201704260001（保005）号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23</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24</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平银（青岛）贷字第C010201706050001（保006）号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25</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平银（青岛）贷字第C010201704260001（保006）号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26</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27</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身份证复印件</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28</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平银（青岛）贷字第C010201706050001（保007）号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29</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平银（青岛）贷字第C010201704260001（保007）号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30</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31</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平银（青岛）贷字第C010201706050001（保008）号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32</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平银（青岛）贷字第C010201704260001（保008）号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33</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34</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民事起诉状</w:t>
            </w:r>
          </w:p>
        </w:tc>
        <w:tc>
          <w:tcPr>
            <w:tcW w:w="3969"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35</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受理案件通知书</w:t>
            </w:r>
          </w:p>
        </w:tc>
        <w:tc>
          <w:tcPr>
            <w:tcW w:w="3969"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36</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民事判决书</w:t>
            </w:r>
          </w:p>
        </w:tc>
        <w:tc>
          <w:tcPr>
            <w:tcW w:w="3969"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（2018）鲁02民初1384号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37</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强制执行申请书</w:t>
            </w:r>
          </w:p>
        </w:tc>
        <w:tc>
          <w:tcPr>
            <w:tcW w:w="3969"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38</w:t>
            </w:r>
          </w:p>
        </w:tc>
        <w:tc>
          <w:tcPr>
            <w:tcW w:w="237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债权申报表（正顺车轮）</w:t>
            </w:r>
          </w:p>
        </w:tc>
        <w:tc>
          <w:tcPr>
            <w:tcW w:w="3969"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bl>
    <w:p>
      <w:pPr>
        <w:pStyle w:val="25"/>
        <w:ind w:left="360" w:firstLine="0" w:firstLineChars="0"/>
        <w:rPr>
          <w:rFonts w:ascii="仿宋_GB2312" w:eastAsia="仿宋_GB2312" w:cs="仿宋_GB2312"/>
          <w:bCs/>
          <w:kern w:val="44"/>
          <w:sz w:val="24"/>
        </w:rPr>
      </w:pPr>
      <w:r>
        <w:rPr>
          <w:rFonts w:hint="eastAsia" w:ascii="仿宋_GB2312" w:eastAsia="仿宋_GB2312" w:cs="仿宋_GB2312"/>
          <w:bCs/>
          <w:kern w:val="44"/>
          <w:sz w:val="24"/>
        </w:rPr>
        <w:t>4.企业名称：青岛恒运源铜业有限公司</w:t>
      </w:r>
    </w:p>
    <w:tbl>
      <w:tblPr>
        <w:tblStyle w:val="10"/>
        <w:tblW w:w="8780" w:type="dxa"/>
        <w:tblInd w:w="93" w:type="dxa"/>
        <w:tblLayout w:type="fixed"/>
        <w:tblCellMar>
          <w:top w:w="0" w:type="dxa"/>
          <w:left w:w="108" w:type="dxa"/>
          <w:bottom w:w="0" w:type="dxa"/>
          <w:right w:w="108" w:type="dxa"/>
        </w:tblCellMar>
      </w:tblPr>
      <w:tblGrid>
        <w:gridCol w:w="620"/>
        <w:gridCol w:w="2460"/>
        <w:gridCol w:w="3881"/>
        <w:gridCol w:w="851"/>
        <w:gridCol w:w="968"/>
      </w:tblGrid>
      <w:tr>
        <w:tblPrEx>
          <w:tblCellMar>
            <w:top w:w="0" w:type="dxa"/>
            <w:left w:w="108" w:type="dxa"/>
            <w:bottom w:w="0" w:type="dxa"/>
            <w:right w:w="108" w:type="dxa"/>
          </w:tblCellMar>
        </w:tblPrEx>
        <w:trPr>
          <w:trHeight w:val="600"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2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重要凭证名称</w:t>
            </w:r>
          </w:p>
        </w:tc>
        <w:tc>
          <w:tcPr>
            <w:tcW w:w="388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编号（如有）</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原件份数</w:t>
            </w:r>
          </w:p>
        </w:tc>
        <w:tc>
          <w:tcPr>
            <w:tcW w:w="9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复印件份数</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平银（青岛）贷字第C040201605310001号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编号0367784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平银（青岛）贷字第C040201605310001（保001）号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6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8</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平银（青岛）贷字第C040201605310001（保002）号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平银（青岛）贷字第C040201605310001（保004）号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11</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12</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平银（青岛）贷字第C040201605310001（保005）号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14</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平银（青岛）贷字第C040201605310001（保007）号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15</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16</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平银（青岛）贷字第C040201605310001（保009）号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17</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18</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平银（青岛）贷字第C040201605310001（保010）号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19</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8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20</w:t>
            </w:r>
          </w:p>
        </w:tc>
        <w:tc>
          <w:tcPr>
            <w:tcW w:w="2460"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民事起诉状</w:t>
            </w:r>
          </w:p>
        </w:tc>
        <w:tc>
          <w:tcPr>
            <w:tcW w:w="388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民事判决书</w:t>
            </w:r>
          </w:p>
        </w:tc>
        <w:tc>
          <w:tcPr>
            <w:tcW w:w="388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（2018）鲁0212民初3615号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22</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判决送达回证</w:t>
            </w:r>
          </w:p>
        </w:tc>
        <w:tc>
          <w:tcPr>
            <w:tcW w:w="388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6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23</w:t>
            </w:r>
          </w:p>
        </w:tc>
        <w:tc>
          <w:tcPr>
            <w:tcW w:w="246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强制执行申请书</w:t>
            </w:r>
          </w:p>
        </w:tc>
        <w:tc>
          <w:tcPr>
            <w:tcW w:w="388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6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bl>
    <w:p>
      <w:pPr>
        <w:pStyle w:val="25"/>
        <w:ind w:left="360" w:firstLine="0" w:firstLineChars="0"/>
        <w:rPr>
          <w:rFonts w:ascii="仿宋_GB2312" w:eastAsia="仿宋_GB2312" w:cs="仿宋_GB2312"/>
          <w:bCs/>
          <w:kern w:val="44"/>
          <w:sz w:val="24"/>
        </w:rPr>
      </w:pPr>
      <w:r>
        <w:rPr>
          <w:rFonts w:hint="eastAsia" w:ascii="仿宋_GB2312" w:eastAsia="仿宋_GB2312" w:cs="仿宋_GB2312"/>
          <w:bCs/>
          <w:kern w:val="44"/>
          <w:sz w:val="24"/>
        </w:rPr>
        <w:t>5.企业名称：青岛柏丰源国际贸易有限公司</w:t>
      </w:r>
    </w:p>
    <w:tbl>
      <w:tblPr>
        <w:tblStyle w:val="10"/>
        <w:tblW w:w="8804" w:type="dxa"/>
        <w:tblInd w:w="93" w:type="dxa"/>
        <w:tblLayout w:type="fixed"/>
        <w:tblCellMar>
          <w:top w:w="0" w:type="dxa"/>
          <w:left w:w="108" w:type="dxa"/>
          <w:bottom w:w="0" w:type="dxa"/>
          <w:right w:w="108" w:type="dxa"/>
        </w:tblCellMar>
      </w:tblPr>
      <w:tblGrid>
        <w:gridCol w:w="620"/>
        <w:gridCol w:w="2514"/>
        <w:gridCol w:w="3827"/>
        <w:gridCol w:w="851"/>
        <w:gridCol w:w="992"/>
      </w:tblGrid>
      <w:tr>
        <w:tblPrEx>
          <w:tblCellMar>
            <w:top w:w="0" w:type="dxa"/>
            <w:left w:w="108" w:type="dxa"/>
            <w:bottom w:w="0" w:type="dxa"/>
            <w:right w:w="108" w:type="dxa"/>
          </w:tblCellMar>
        </w:tblPrEx>
        <w:trPr>
          <w:trHeight w:val="600"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重要凭证名称</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编号（如有）</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原件份数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复印件份数</w:t>
            </w:r>
          </w:p>
        </w:tc>
      </w:tr>
      <w:tr>
        <w:tblPrEx>
          <w:tblCellMar>
            <w:top w:w="0" w:type="dxa"/>
            <w:left w:w="108" w:type="dxa"/>
            <w:bottom w:w="0" w:type="dxa"/>
            <w:right w:w="108" w:type="dxa"/>
          </w:tblCellMar>
        </w:tblPrEx>
        <w:trPr>
          <w:trHeight w:val="36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编号0271504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质押担保合同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平银（青岛）贷字第C136201709290001（质001）号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应收账款质押登记协议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平银（青岛）贷字第C136201709290001（账质001）号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2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中国人民银行征信中心动产权属统一登记-初始登记</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登记证明编号03920567000470839024</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8</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平银（青岛）贷字第C136201709290001（保001）号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质押担保合同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平银（青岛）贷字第C136201709290001（质002）号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应收账款质押登记协议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平银（青岛）贷字第C136201709290001（账质002）号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中国人民银行征信中心动产权属统一登记-初始登记</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登记证明编号03920609000470844261</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平银（青岛）贷字第C136201709290001（保002）号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15</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质押担保合同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平银（青岛）贷字第C136201709290001（质003）号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16</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平银（青岛）贷字第C136201709290001（保003）号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18</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19</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平银（青岛）贷字第C136201709290001（保004）号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20</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平银（青岛）贷字第C136201709290001（保005）号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1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民事起诉状</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1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受理案件通知书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25</w:t>
            </w:r>
          </w:p>
        </w:tc>
        <w:tc>
          <w:tcPr>
            <w:tcW w:w="2514"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民事裁定书、协助执行通知书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（2018）鲁0212民初1号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26</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民事调解书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（2018）鲁0212民初1号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0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强制执行申请书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bl>
    <w:p>
      <w:pPr>
        <w:pStyle w:val="25"/>
        <w:ind w:left="360" w:firstLine="0" w:firstLineChars="0"/>
        <w:rPr>
          <w:rFonts w:ascii="仿宋_GB2312" w:eastAsia="仿宋_GB2312" w:cs="仿宋_GB2312"/>
          <w:bCs/>
          <w:kern w:val="44"/>
          <w:sz w:val="24"/>
        </w:rPr>
      </w:pPr>
      <w:r>
        <w:rPr>
          <w:rFonts w:hint="eastAsia" w:ascii="仿宋_GB2312" w:eastAsia="仿宋_GB2312" w:cs="仿宋_GB2312"/>
          <w:bCs/>
          <w:kern w:val="44"/>
          <w:sz w:val="24"/>
        </w:rPr>
        <w:t>6.企业名称：山东永力起重机械股份有限公司</w:t>
      </w:r>
    </w:p>
    <w:tbl>
      <w:tblPr>
        <w:tblStyle w:val="10"/>
        <w:tblW w:w="8804" w:type="dxa"/>
        <w:tblInd w:w="93" w:type="dxa"/>
        <w:tblLayout w:type="fixed"/>
        <w:tblCellMar>
          <w:top w:w="0" w:type="dxa"/>
          <w:left w:w="108" w:type="dxa"/>
          <w:bottom w:w="0" w:type="dxa"/>
          <w:right w:w="108" w:type="dxa"/>
        </w:tblCellMar>
      </w:tblPr>
      <w:tblGrid>
        <w:gridCol w:w="620"/>
        <w:gridCol w:w="2514"/>
        <w:gridCol w:w="3827"/>
        <w:gridCol w:w="851"/>
        <w:gridCol w:w="992"/>
      </w:tblGrid>
      <w:tr>
        <w:tblPrEx>
          <w:tblCellMar>
            <w:top w:w="0" w:type="dxa"/>
            <w:left w:w="108" w:type="dxa"/>
            <w:bottom w:w="0" w:type="dxa"/>
            <w:right w:w="108" w:type="dxa"/>
          </w:tblCellMar>
        </w:tblPrEx>
        <w:trPr>
          <w:trHeight w:val="600"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重要凭证名称</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编号（如有）</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原件份数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复印件份数</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平银（青岛）贷字第B015201511090002号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28</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29</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编号0368118</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30</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展期申请书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展期协议书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平银青城支展字20160505第002号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展期协议书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平银青城支展字20160505第002-1号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贷款展期凭证</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平银（青岛）补字第A015201509140002号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35</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36</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平银（青岛）综字第A015201509140002（额保001）号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平银（青岛）补字第A015201509140002（额保001）号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38</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39</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平银（青岛）综字第A015201509140002（额保002）号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40</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平银（青岛）补字第A015201509140002（额保002）号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平银（青岛）综字第A015201509140002（额保003）号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最高额抵押担保合同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平银（青岛）综字第A015201509140002（额抵001）号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动产抵押登记书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寿市场监抵登字（2015）062号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45</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平银（青岛）补字第A015201509140002（额保003）号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46</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平银（青岛）补字第A015201509140002（额抵001）号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48</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平银（青岛）综字第A015201509140002（额保004）号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49</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平银（青岛）补字第A015201509140002（额保004）号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50</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最高额保证担保合同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平银（青岛）综字第A015201509140002（额保005）号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平银（青岛）补字第A015201509140002（额保005）号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民事起诉状</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受理案件通知书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协助执行通知书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55</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民事判决书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（2016）鲁02民初971号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56</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申请执行书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执行案件受理通知书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58</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续封申请书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bl>
    <w:p>
      <w:pPr>
        <w:pStyle w:val="25"/>
        <w:ind w:left="360" w:firstLine="0" w:firstLineChars="0"/>
        <w:rPr>
          <w:rFonts w:ascii="仿宋_GB2312" w:eastAsia="仿宋_GB2312" w:cs="仿宋_GB2312"/>
          <w:bCs/>
          <w:kern w:val="44"/>
          <w:sz w:val="24"/>
        </w:rPr>
      </w:pPr>
      <w:r>
        <w:rPr>
          <w:rFonts w:hint="eastAsia" w:ascii="仿宋_GB2312" w:eastAsia="仿宋_GB2312" w:cs="仿宋_GB2312"/>
          <w:bCs/>
          <w:kern w:val="44"/>
          <w:sz w:val="24"/>
        </w:rPr>
        <w:t>7.企业名称：山东合力新材料有限公司</w:t>
      </w:r>
    </w:p>
    <w:tbl>
      <w:tblPr>
        <w:tblStyle w:val="10"/>
        <w:tblW w:w="8804" w:type="dxa"/>
        <w:tblInd w:w="93" w:type="dxa"/>
        <w:tblLayout w:type="fixed"/>
        <w:tblCellMar>
          <w:top w:w="0" w:type="dxa"/>
          <w:left w:w="108" w:type="dxa"/>
          <w:bottom w:w="0" w:type="dxa"/>
          <w:right w:w="108" w:type="dxa"/>
        </w:tblCellMar>
      </w:tblPr>
      <w:tblGrid>
        <w:gridCol w:w="620"/>
        <w:gridCol w:w="2514"/>
        <w:gridCol w:w="3827"/>
        <w:gridCol w:w="851"/>
        <w:gridCol w:w="992"/>
      </w:tblGrid>
      <w:tr>
        <w:tblPrEx>
          <w:tblCellMar>
            <w:top w:w="0" w:type="dxa"/>
            <w:left w:w="108" w:type="dxa"/>
            <w:bottom w:w="0" w:type="dxa"/>
            <w:right w:w="108" w:type="dxa"/>
          </w:tblCellMar>
        </w:tblPrEx>
        <w:trPr>
          <w:trHeight w:val="600"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重要凭证名称</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编号（如有）</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原件份数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复印件份数</w:t>
            </w:r>
          </w:p>
        </w:tc>
      </w:tr>
      <w:tr>
        <w:tblPrEx>
          <w:tblCellMar>
            <w:top w:w="0" w:type="dxa"/>
            <w:left w:w="108" w:type="dxa"/>
            <w:bottom w:w="0" w:type="dxa"/>
            <w:right w:w="108" w:type="dxa"/>
          </w:tblCellMar>
        </w:tblPrEx>
        <w:trPr>
          <w:trHeight w:val="54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平银（青岛）贷字第C137201712260001号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编号1109105</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55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质押担保合同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平银（青岛）贷字第C137201712260001（质001）号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应收账款质押登记协议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平银（青岛）贷字第C137201712260001（账质001）号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58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中国人民银行征信中心动产权属统一登记-初始登记</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登记证明编号：04201757000504036559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43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8</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3</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9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平银（青岛）贷字第C137201712260001（保001）号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平银（青岛）贷字第C137201712260001（保002）号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平银（青岛）贷字第C137201712260001（保003）号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15</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平银（青岛）贷字第C137201712260001（保004）号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16</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平银（青岛）贷字第C137201712260001（保005）号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18</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19</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民事起诉状</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20</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受理案件通知书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民事判决书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（2018）鲁0212民初3635号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上诉状</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5"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民事判决书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（2020）鲁02民终6225号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bl>
    <w:p>
      <w:pPr>
        <w:pStyle w:val="25"/>
        <w:ind w:left="360" w:firstLine="0" w:firstLineChars="0"/>
        <w:rPr>
          <w:rFonts w:ascii="仿宋_GB2312" w:eastAsia="仿宋_GB2312" w:cs="仿宋_GB2312"/>
          <w:bCs/>
          <w:kern w:val="44"/>
          <w:sz w:val="24"/>
        </w:rPr>
      </w:pPr>
      <w:r>
        <w:rPr>
          <w:rFonts w:hint="eastAsia" w:ascii="仿宋_GB2312" w:eastAsia="仿宋_GB2312" w:cs="仿宋_GB2312"/>
          <w:bCs/>
          <w:kern w:val="44"/>
          <w:sz w:val="24"/>
        </w:rPr>
        <w:t>8.企业名称：山东合力新材料有限公司</w:t>
      </w:r>
    </w:p>
    <w:tbl>
      <w:tblPr>
        <w:tblStyle w:val="10"/>
        <w:tblW w:w="8804" w:type="dxa"/>
        <w:tblInd w:w="93" w:type="dxa"/>
        <w:tblLayout w:type="fixed"/>
        <w:tblCellMar>
          <w:top w:w="0" w:type="dxa"/>
          <w:left w:w="108" w:type="dxa"/>
          <w:bottom w:w="0" w:type="dxa"/>
          <w:right w:w="108" w:type="dxa"/>
        </w:tblCellMar>
      </w:tblPr>
      <w:tblGrid>
        <w:gridCol w:w="620"/>
        <w:gridCol w:w="2514"/>
        <w:gridCol w:w="3827"/>
        <w:gridCol w:w="851"/>
        <w:gridCol w:w="992"/>
      </w:tblGrid>
      <w:tr>
        <w:tblPrEx>
          <w:tblCellMar>
            <w:top w:w="0" w:type="dxa"/>
            <w:left w:w="108" w:type="dxa"/>
            <w:bottom w:w="0" w:type="dxa"/>
            <w:right w:w="108" w:type="dxa"/>
          </w:tblCellMar>
        </w:tblPrEx>
        <w:trPr>
          <w:trHeight w:val="600" w:hRule="atLeast"/>
        </w:trPr>
        <w:tc>
          <w:tcPr>
            <w:tcW w:w="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重要凭证名称</w:t>
            </w:r>
          </w:p>
        </w:tc>
        <w:tc>
          <w:tcPr>
            <w:tcW w:w="38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编号（如有）</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原件份数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复印件份数</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贷款申请书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平银（青岛）贷字第C065201607110001号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贷款委托支付申请书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借款借据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编号0366959</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5</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6</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平银（青岛）贷字第C065201607110001（保001）号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授信补充协议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平银青岛授补字第C065201607110001-2号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8</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平银（青岛）贷字第C065201607110001（保003）号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9</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授信补充协议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平银青岛授补字第C065201607110001-8号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10</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平银（青岛）贷字第C065201607110001（保005）号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授信补充协议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平银青岛授补字第C065201607110001-3号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6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平银（青岛）贷字第C065201607110001（保006）号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送达地址确认书</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授信补充协议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平银青岛授补字第C065201607110001-4号</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80"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15</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平银（青岛）贷字第C065201607110001（保007）号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16</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授信补充协议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平银青岛授补字第C065201607110001-5号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522"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17</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保证担保合同</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平银（青岛）贷字第C065201607110001（保008）号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18</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授信补充协议</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平银青岛授补字第C065201607110001-6号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19</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民事起诉状</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20</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撤诉申请书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21</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受理案件通知书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b/>
                <w:bCs/>
                <w:kern w:val="0"/>
                <w:sz w:val="20"/>
                <w:szCs w:val="20"/>
              </w:rPr>
            </w:pPr>
            <w:r>
              <w:rPr>
                <w:rFonts w:hint="eastAsia" w:ascii="仿宋" w:hAnsi="仿宋" w:eastAsia="仿宋" w:cs="宋体"/>
                <w:b/>
                <w:bCs/>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22</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协助执行通知书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23</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民事判决书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（2018）鲁0212民初1751号</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79" w:hRule="atLeast"/>
        </w:trPr>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20"/>
                <w:szCs w:val="20"/>
              </w:rPr>
            </w:pPr>
            <w:r>
              <w:rPr>
                <w:rFonts w:hint="eastAsia" w:ascii="仿宋" w:hAnsi="仿宋" w:eastAsia="仿宋" w:cs="宋体"/>
                <w:kern w:val="0"/>
                <w:sz w:val="20"/>
                <w:szCs w:val="20"/>
              </w:rPr>
              <w:t>24</w:t>
            </w:r>
          </w:p>
        </w:tc>
        <w:tc>
          <w:tcPr>
            <w:tcW w:w="251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强制执行申请书</w:t>
            </w:r>
          </w:p>
        </w:tc>
        <w:tc>
          <w:tcPr>
            <w:tcW w:w="3827"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r>
    </w:tbl>
    <w:p>
      <w:pPr>
        <w:pStyle w:val="25"/>
        <w:ind w:left="360" w:firstLine="0" w:firstLineChars="0"/>
        <w:rPr>
          <w:rFonts w:ascii="仿宋_GB2312" w:eastAsia="仿宋_GB2312" w:cs="仿宋_GB2312"/>
          <w:bCs/>
          <w:kern w:val="44"/>
          <w:sz w:val="24"/>
        </w:rPr>
      </w:pPr>
    </w:p>
    <w:p>
      <w:pPr>
        <w:pStyle w:val="25"/>
        <w:ind w:left="360" w:firstLine="0" w:firstLineChars="0"/>
        <w:rPr>
          <w:rFonts w:ascii="仿宋_GB2312" w:eastAsia="仿宋_GB2312" w:cs="仿宋_GB2312"/>
          <w:bCs/>
          <w:kern w:val="44"/>
          <w:sz w:val="24"/>
        </w:rPr>
      </w:pPr>
    </w:p>
    <w:p>
      <w:pPr>
        <w:pStyle w:val="25"/>
        <w:ind w:left="360" w:firstLine="0" w:firstLineChars="0"/>
        <w:rPr>
          <w:rFonts w:ascii="仿宋_GB2312" w:eastAsia="仿宋_GB2312" w:cs="仿宋_GB2312"/>
          <w:bCs/>
          <w:kern w:val="44"/>
          <w:sz w:val="24"/>
        </w:rPr>
      </w:pPr>
    </w:p>
    <w:p>
      <w:pPr>
        <w:rPr>
          <w:rFonts w:ascii="仿宋_GB2312" w:eastAsia="仿宋_GB2312"/>
        </w:rPr>
      </w:pPr>
      <w:r>
        <w:rPr>
          <w:rFonts w:hint="eastAsia" w:ascii="仿宋_GB2312" w:eastAsia="仿宋_GB2312"/>
        </w:rPr>
        <w:t>注：1、同一名称项下存在多份资产文件且部分为复印件的，应在备注中单独说明复印件的名称和数量；</w:t>
      </w:r>
    </w:p>
    <w:p>
      <w:pPr>
        <w:spacing w:line="360" w:lineRule="auto"/>
        <w:ind w:firstLine="420"/>
        <w:rPr>
          <w:rFonts w:eastAsia="仿宋_GB2312"/>
        </w:rPr>
      </w:pPr>
      <w:r>
        <w:rPr>
          <w:rFonts w:hint="eastAsia" w:ascii="仿宋_GB2312" w:eastAsia="仿宋_GB2312"/>
        </w:rPr>
        <w:t>2、甲方于基准日实际持有的超出本清单范围的材料（如有），可在交割日一并交付给乙方，但该等交付不构成甲方在本协议项下的义务。</w:t>
      </w:r>
    </w:p>
    <w:p>
      <w:pPr>
        <w:spacing w:line="360" w:lineRule="auto"/>
        <w:ind w:firstLine="420"/>
        <w:rPr>
          <w:rFonts w:ascii="楷体" w:hAnsi="楷体" w:eastAsia="楷体"/>
          <w:b/>
          <w:szCs w:val="21"/>
        </w:rPr>
      </w:pPr>
      <w:r>
        <w:rPr>
          <w:rFonts w:hint="eastAsia" w:ascii="楷体" w:hAnsi="楷体" w:eastAsia="楷体"/>
          <w:b/>
          <w:szCs w:val="21"/>
        </w:rPr>
        <w:t>乙方已仔细阅读了本清单上所载的所有文件，已完全了解并知悉本清单上所有文件的内容，并已知悉标的债权及担保情况及瑕疵，已完全了解并知悉标的债权可能不能清偿或不能完全清偿的瑕疵，乙方自行承担相应风险，并自愿放弃因债权瑕疵或抵押物瑕疵向甲方提起诉讼或要求甲方回购该等债权或要求甲方承担赔偿责任的权利，特此确认。</w:t>
      </w:r>
    </w:p>
    <w:p>
      <w:pPr>
        <w:spacing w:line="360" w:lineRule="auto"/>
        <w:outlineLvl w:val="0"/>
        <w:rPr>
          <w:rFonts w:ascii="楷体" w:hAnsi="楷体" w:eastAsia="楷体"/>
          <w:b/>
          <w:szCs w:val="21"/>
        </w:rPr>
      </w:pPr>
      <w:r>
        <w:rPr>
          <w:rFonts w:ascii="楷体" w:hAnsi="楷体" w:eastAsia="楷体"/>
          <w:b/>
          <w:szCs w:val="21"/>
        </w:rPr>
        <w:t>甲方：中国长城资产管理</w:t>
      </w:r>
      <w:r>
        <w:rPr>
          <w:rFonts w:hint="eastAsia" w:ascii="楷体" w:hAnsi="楷体" w:eastAsia="楷体"/>
          <w:b/>
          <w:szCs w:val="21"/>
        </w:rPr>
        <w:t>股份有限</w:t>
      </w:r>
      <w:r>
        <w:rPr>
          <w:rFonts w:ascii="楷体" w:hAnsi="楷体" w:eastAsia="楷体"/>
          <w:b/>
          <w:szCs w:val="21"/>
        </w:rPr>
        <w:t>公司</w:t>
      </w:r>
      <w:r>
        <w:rPr>
          <w:rFonts w:hint="eastAsia" w:ascii="楷体" w:hAnsi="楷体" w:eastAsia="楷体"/>
          <w:b/>
          <w:szCs w:val="21"/>
          <w:u w:val="single"/>
        </w:rPr>
        <w:t>山东省分公司</w:t>
      </w:r>
      <w:r>
        <w:rPr>
          <w:rFonts w:ascii="楷体" w:hAnsi="楷体" w:eastAsia="楷体"/>
          <w:b/>
          <w:szCs w:val="21"/>
        </w:rPr>
        <w:t>（盖章）</w:t>
      </w:r>
    </w:p>
    <w:p>
      <w:pPr>
        <w:pStyle w:val="5"/>
        <w:tabs>
          <w:tab w:val="left" w:pos="980"/>
        </w:tabs>
        <w:spacing w:after="0" w:line="360" w:lineRule="auto"/>
        <w:ind w:left="0" w:leftChars="0"/>
        <w:rPr>
          <w:rFonts w:ascii="楷体" w:hAnsi="楷体" w:eastAsia="楷体"/>
          <w:b/>
          <w:szCs w:val="21"/>
        </w:rPr>
      </w:pPr>
    </w:p>
    <w:p>
      <w:pPr>
        <w:pStyle w:val="5"/>
        <w:tabs>
          <w:tab w:val="left" w:pos="980"/>
        </w:tabs>
        <w:spacing w:after="0" w:line="360" w:lineRule="auto"/>
        <w:ind w:left="0" w:leftChars="0"/>
        <w:rPr>
          <w:rFonts w:ascii="楷体" w:hAnsi="楷体" w:eastAsia="楷体"/>
          <w:b/>
          <w:szCs w:val="21"/>
        </w:rPr>
      </w:pPr>
      <w:r>
        <w:rPr>
          <w:rFonts w:hint="eastAsia" w:ascii="楷体" w:hAnsi="楷体" w:eastAsia="楷体"/>
          <w:b/>
          <w:szCs w:val="21"/>
        </w:rPr>
        <w:t>负责</w:t>
      </w:r>
      <w:r>
        <w:rPr>
          <w:rFonts w:ascii="楷体" w:hAnsi="楷体" w:eastAsia="楷体"/>
          <w:b/>
          <w:szCs w:val="21"/>
        </w:rPr>
        <w:t>人或授权代表（签字）：</w:t>
      </w:r>
      <w:r>
        <w:rPr>
          <w:rFonts w:ascii="楷体" w:hAnsi="楷体" w:eastAsia="楷体"/>
          <w:b/>
          <w:szCs w:val="21"/>
          <w:u w:val="single"/>
        </w:rPr>
        <w:t xml:space="preserve">                        </w:t>
      </w:r>
    </w:p>
    <w:p>
      <w:pPr>
        <w:pStyle w:val="5"/>
        <w:tabs>
          <w:tab w:val="left" w:pos="980"/>
        </w:tabs>
        <w:spacing w:after="0" w:line="360" w:lineRule="auto"/>
        <w:rPr>
          <w:rFonts w:ascii="楷体" w:hAnsi="楷体" w:eastAsia="楷体"/>
          <w:b/>
          <w:szCs w:val="21"/>
        </w:rPr>
      </w:pPr>
    </w:p>
    <w:p>
      <w:pPr>
        <w:pStyle w:val="5"/>
        <w:tabs>
          <w:tab w:val="left" w:pos="980"/>
        </w:tabs>
        <w:spacing w:after="0" w:line="360" w:lineRule="auto"/>
        <w:ind w:left="0" w:leftChars="0"/>
        <w:rPr>
          <w:rFonts w:ascii="楷体" w:hAnsi="楷体" w:eastAsia="楷体"/>
          <w:b/>
          <w:szCs w:val="21"/>
        </w:rPr>
      </w:pPr>
      <w:r>
        <w:rPr>
          <w:rFonts w:ascii="楷体" w:hAnsi="楷体" w:eastAsia="楷体"/>
          <w:b/>
          <w:szCs w:val="21"/>
        </w:rPr>
        <w:t>乙方：</w:t>
      </w:r>
      <w:r>
        <w:rPr>
          <w:rFonts w:hint="eastAsia" w:ascii="楷体" w:hAnsi="楷体" w:eastAsia="楷体"/>
          <w:b/>
          <w:szCs w:val="21"/>
        </w:rPr>
        <w:t>光彩银星拍卖有限公司</w:t>
      </w:r>
      <w:r>
        <w:rPr>
          <w:rFonts w:ascii="楷体" w:hAnsi="楷体" w:eastAsia="楷体"/>
          <w:b/>
          <w:szCs w:val="21"/>
        </w:rPr>
        <w:t>（盖章）</w:t>
      </w:r>
    </w:p>
    <w:p>
      <w:pPr>
        <w:spacing w:line="360" w:lineRule="auto"/>
        <w:rPr>
          <w:rFonts w:ascii="楷体" w:hAnsi="楷体" w:eastAsia="楷体"/>
          <w:b/>
          <w:szCs w:val="21"/>
        </w:rPr>
      </w:pPr>
    </w:p>
    <w:p>
      <w:pPr>
        <w:spacing w:line="360" w:lineRule="auto"/>
        <w:rPr>
          <w:rFonts w:ascii="楷体" w:hAnsi="楷体" w:eastAsia="楷体"/>
          <w:szCs w:val="21"/>
        </w:rPr>
      </w:pPr>
      <w:r>
        <w:rPr>
          <w:rFonts w:ascii="楷体" w:hAnsi="楷体" w:eastAsia="楷体"/>
          <w:b/>
          <w:szCs w:val="21"/>
        </w:rPr>
        <w:t>法定代表人或授权代表（签字）：</w:t>
      </w:r>
      <w:r>
        <w:rPr>
          <w:rFonts w:ascii="楷体" w:hAnsi="楷体" w:eastAsia="楷体"/>
          <w:b/>
          <w:szCs w:val="21"/>
          <w:u w:val="single"/>
        </w:rPr>
        <w:t xml:space="preserve">                        </w:t>
      </w: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r>
        <w:rPr>
          <w:rFonts w:ascii="楷体" w:hAnsi="楷体" w:eastAsia="楷体"/>
          <w:b/>
          <w:szCs w:val="21"/>
        </w:rPr>
        <w:t xml:space="preserve">                            年    月    日</w:t>
      </w: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p>
    <w:p>
      <w:pPr>
        <w:spacing w:line="360" w:lineRule="auto"/>
        <w:jc w:val="center"/>
        <w:rPr>
          <w:rFonts w:ascii="楷体" w:hAnsi="楷体" w:eastAsia="楷体"/>
          <w:b/>
          <w:szCs w:val="21"/>
        </w:rPr>
      </w:pPr>
      <w:r>
        <w:rPr>
          <w:rFonts w:ascii="楷体" w:hAnsi="楷体" w:eastAsia="楷体"/>
          <w:b/>
          <w:szCs w:val="21"/>
        </w:rPr>
        <w:br w:type="page"/>
      </w:r>
    </w:p>
    <w:p>
      <w:pPr>
        <w:spacing w:line="360" w:lineRule="auto"/>
        <w:jc w:val="center"/>
        <w:rPr>
          <w:rFonts w:ascii="楷体" w:hAnsi="楷体" w:eastAsia="楷体"/>
          <w:b/>
          <w:sz w:val="24"/>
        </w:rPr>
      </w:pPr>
      <w:r>
        <w:rPr>
          <w:rFonts w:ascii="楷体" w:hAnsi="楷体" w:eastAsia="楷体"/>
          <w:b/>
          <w:sz w:val="24"/>
        </w:rPr>
        <w:t>附件三：</w:t>
      </w:r>
      <w:r>
        <w:rPr>
          <w:rFonts w:hint="eastAsia" w:ascii="楷体" w:hAnsi="楷体" w:eastAsia="楷体"/>
          <w:b/>
          <w:sz w:val="24"/>
        </w:rPr>
        <w:t>拍卖债权的瑕疵披露</w:t>
      </w:r>
    </w:p>
    <w:p>
      <w:pPr>
        <w:pStyle w:val="5"/>
        <w:tabs>
          <w:tab w:val="left" w:pos="980"/>
        </w:tabs>
        <w:spacing w:after="0" w:line="360" w:lineRule="auto"/>
        <w:ind w:left="0" w:leftChars="0"/>
        <w:rPr>
          <w:rFonts w:ascii="楷体" w:hAnsi="楷体" w:eastAsia="楷体"/>
          <w:b/>
          <w:sz w:val="24"/>
          <w:u w:val="single"/>
        </w:rPr>
      </w:pPr>
    </w:p>
    <w:p>
      <w:pPr>
        <w:snapToGrid w:val="0"/>
        <w:spacing w:line="360" w:lineRule="auto"/>
        <w:ind w:right="-87" w:firstLine="480" w:firstLineChars="200"/>
        <w:rPr>
          <w:rFonts w:ascii="楷体" w:hAnsi="楷体" w:eastAsia="楷体"/>
          <w:sz w:val="24"/>
        </w:rPr>
      </w:pPr>
      <w:r>
        <w:rPr>
          <w:rFonts w:ascii="楷体" w:hAnsi="楷体" w:eastAsia="楷体"/>
          <w:sz w:val="24"/>
        </w:rPr>
        <w:t xml:space="preserve">1、 </w:t>
      </w:r>
      <w:r>
        <w:rPr>
          <w:rFonts w:hint="eastAsia" w:ascii="楷体" w:hAnsi="楷体" w:eastAsia="楷体"/>
          <w:sz w:val="24"/>
        </w:rPr>
        <w:t>委托人已充分告知，其委托拍卖人拍卖的标的债权，存在或可能存在下列瑕疵或风险，且因委托人并非贷款债权的原始权利人，委托人无法对其承继的、由任何第三方制作的贷款债权证明文件的真实性、有效性、准确性和完整性提供保证，以至于买受人受让作为拍卖标的的贷款债权的预期利益可能无法实现。该等瑕疵或风险包括但不限于下列一项或多项：</w:t>
      </w:r>
    </w:p>
    <w:p>
      <w:pPr>
        <w:snapToGrid w:val="0"/>
        <w:spacing w:line="360" w:lineRule="auto"/>
        <w:ind w:right="-87" w:firstLine="480" w:firstLineChars="200"/>
        <w:rPr>
          <w:rFonts w:ascii="楷体" w:hAnsi="楷体" w:eastAsia="楷体"/>
          <w:sz w:val="24"/>
        </w:rPr>
      </w:pPr>
      <w:r>
        <w:rPr>
          <w:rFonts w:ascii="楷体" w:hAnsi="楷体" w:eastAsia="楷体"/>
          <w:sz w:val="24"/>
        </w:rPr>
        <w:t>1.1贷款债权系不良资产，存在着部分或全部不能回收的风险特性以及清收的困难性；</w:t>
      </w:r>
    </w:p>
    <w:p>
      <w:pPr>
        <w:snapToGrid w:val="0"/>
        <w:spacing w:line="360" w:lineRule="auto"/>
        <w:ind w:right="-87" w:firstLine="480" w:firstLineChars="200"/>
        <w:rPr>
          <w:rFonts w:ascii="楷体" w:hAnsi="楷体" w:eastAsia="楷体"/>
          <w:sz w:val="24"/>
        </w:rPr>
      </w:pPr>
      <w:r>
        <w:rPr>
          <w:rFonts w:ascii="楷体" w:hAnsi="楷体" w:eastAsia="楷体"/>
          <w:sz w:val="24"/>
        </w:rPr>
        <w:t xml:space="preserve">1.2 </w:t>
      </w:r>
      <w:r>
        <w:rPr>
          <w:rFonts w:hint="eastAsia" w:ascii="楷体" w:hAnsi="楷体" w:eastAsia="楷体"/>
          <w:sz w:val="24"/>
        </w:rPr>
        <w:t>由于可能存在的计算误差或其他原因，受让人实际接收的贷款债权金额与《贷款债权明细表》载明的金额可能不完全一致；基于有关司法政策文件，买受人受让贷款债权后向债务人或担保人所能主张并获得司法支持的利息可能与《贷款债权明细表》中所列明的利息不完全一致；</w:t>
      </w:r>
    </w:p>
    <w:p>
      <w:pPr>
        <w:snapToGrid w:val="0"/>
        <w:spacing w:line="360" w:lineRule="auto"/>
        <w:ind w:right="-87" w:firstLine="480" w:firstLineChars="200"/>
        <w:rPr>
          <w:rFonts w:ascii="楷体" w:hAnsi="楷体" w:eastAsia="楷体"/>
          <w:sz w:val="24"/>
        </w:rPr>
      </w:pPr>
      <w:r>
        <w:rPr>
          <w:rFonts w:ascii="楷体" w:hAnsi="楷体" w:eastAsia="楷体"/>
          <w:sz w:val="24"/>
        </w:rPr>
        <w:t xml:space="preserve">1.3 </w:t>
      </w:r>
      <w:r>
        <w:rPr>
          <w:rFonts w:hint="eastAsia" w:ascii="楷体" w:hAnsi="楷体" w:eastAsia="楷体"/>
          <w:sz w:val="24"/>
        </w:rPr>
        <w:t>贷款债权项下借款人、担保人或其他责任主体可能存在破产、被吊销、被注销、被撤销、解散、关闭、歇业、停业、下落不明、无法查询到相关信息以及其他主体存续性瑕疵的情形；</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1.4 </w:t>
      </w:r>
      <w:r>
        <w:rPr>
          <w:rFonts w:hint="eastAsia" w:ascii="楷体" w:hAnsi="楷体" w:eastAsia="楷体"/>
          <w:sz w:val="24"/>
        </w:rPr>
        <w:t>贷款债权可能已超过诉讼、执行时效、法定或约定时效或丧失其他相关的期间利益或因其他原因已部分或全部丧失；</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1.5 </w:t>
      </w:r>
      <w:r>
        <w:rPr>
          <w:rFonts w:hint="eastAsia" w:ascii="楷体" w:hAnsi="楷体" w:eastAsia="楷体"/>
          <w:sz w:val="24"/>
        </w:rPr>
        <w:t>贷款债权项下担保权利可能未生效、无效、消灭或已过诉讼时效等情形；</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1.6 </w:t>
      </w:r>
      <w:r>
        <w:rPr>
          <w:rFonts w:hint="eastAsia" w:ascii="楷体" w:hAnsi="楷体" w:eastAsia="楷体"/>
          <w:sz w:val="24"/>
        </w:rPr>
        <w:t>贷款债权权属文件可能存在缺失（不限于原件）、内容冲突、不真实等相关情形；</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1.7涉诉贷款债权可能存在全部或部分败诉、不能变更诉讼（含执行）主体、相关诉讼、执行费用未付等情形，涉诉贷款债权可能在交割前已诉讼终结、执行终结或破产终结；</w:t>
      </w:r>
    </w:p>
    <w:p>
      <w:pPr>
        <w:snapToGrid w:val="0"/>
        <w:spacing w:line="360" w:lineRule="auto"/>
        <w:ind w:right="-86" w:rightChars="-41" w:firstLine="480" w:firstLineChars="200"/>
        <w:rPr>
          <w:rFonts w:ascii="楷体" w:hAnsi="楷体" w:eastAsia="楷体"/>
          <w:sz w:val="24"/>
        </w:rPr>
      </w:pPr>
      <w:r>
        <w:rPr>
          <w:rFonts w:ascii="楷体" w:hAnsi="楷体" w:eastAsia="楷体"/>
          <w:sz w:val="24"/>
        </w:rPr>
        <w:t xml:space="preserve">1.8 </w:t>
      </w:r>
      <w:r>
        <w:rPr>
          <w:rFonts w:hint="eastAsia" w:ascii="楷体" w:hAnsi="楷体" w:eastAsia="楷体"/>
          <w:sz w:val="24"/>
        </w:rPr>
        <w:t>贷款债权事实上可能已经全部灭失或部分灭失，存在无法向原主从债务人进行追偿的可能性；</w:t>
      </w:r>
    </w:p>
    <w:p>
      <w:pPr>
        <w:tabs>
          <w:tab w:val="left" w:pos="992"/>
        </w:tabs>
        <w:snapToGrid w:val="0"/>
        <w:spacing w:line="360" w:lineRule="auto"/>
        <w:ind w:right="-87" w:firstLine="480" w:firstLineChars="200"/>
        <w:rPr>
          <w:rFonts w:ascii="楷体" w:hAnsi="楷体" w:eastAsia="楷体"/>
          <w:sz w:val="24"/>
        </w:rPr>
      </w:pPr>
      <w:r>
        <w:rPr>
          <w:rFonts w:ascii="楷体" w:hAnsi="楷体" w:eastAsia="楷体"/>
          <w:sz w:val="24"/>
        </w:rPr>
        <w:t>1.9买受人受让贷款债权后，对该贷款债权在交割日后的利息或罚息请求权，买受人可能无法继续享有；</w:t>
      </w:r>
    </w:p>
    <w:p>
      <w:pPr>
        <w:snapToGrid w:val="0"/>
        <w:spacing w:line="360" w:lineRule="auto"/>
        <w:ind w:firstLine="470" w:firstLineChars="196"/>
        <w:rPr>
          <w:rFonts w:ascii="楷体" w:hAnsi="楷体" w:eastAsia="楷体"/>
          <w:sz w:val="24"/>
        </w:rPr>
      </w:pPr>
      <w:r>
        <w:rPr>
          <w:rFonts w:ascii="楷体" w:hAnsi="楷体" w:eastAsia="楷体"/>
          <w:sz w:val="24"/>
        </w:rPr>
        <w:t>1.10买受人受让贷款债权后，可能无法享有委托人所享有的国家法律政策规定的各项优惠条件和特殊保护，包括但不限于税收和诉讼方面的优惠和特殊保护；</w:t>
      </w:r>
    </w:p>
    <w:p>
      <w:pPr>
        <w:snapToGrid w:val="0"/>
        <w:spacing w:line="360" w:lineRule="auto"/>
        <w:ind w:firstLine="470" w:firstLineChars="196"/>
        <w:rPr>
          <w:rFonts w:ascii="楷体" w:hAnsi="楷体" w:eastAsia="楷体"/>
          <w:sz w:val="24"/>
        </w:rPr>
      </w:pPr>
      <w:r>
        <w:rPr>
          <w:rFonts w:ascii="楷体" w:hAnsi="楷体" w:eastAsia="楷体"/>
          <w:sz w:val="24"/>
        </w:rPr>
        <w:t>1.1</w:t>
      </w:r>
      <w:r>
        <w:rPr>
          <w:rFonts w:hint="eastAsia" w:ascii="楷体" w:hAnsi="楷体" w:eastAsia="楷体"/>
          <w:sz w:val="24"/>
        </w:rPr>
        <w:t>1青岛柏丰源国际贸易有限公司的保证人梁进与平安银行签订了《质押担保合同》，约定梁进以持有的山东慧行天下商贸有限公司79%的股权向平安银行提供质押担保。但经查询企业信用信息公示系统，未查询山东慧行天下商贸有限公司的工商登记信息，且未查询到股权出质登记信息。因此该股权质押存在效力瑕疵，存在质押权未合法设立的情形。</w:t>
      </w:r>
    </w:p>
    <w:p>
      <w:pPr>
        <w:snapToGrid w:val="0"/>
        <w:spacing w:line="360" w:lineRule="auto"/>
        <w:ind w:firstLine="470" w:firstLineChars="196"/>
        <w:rPr>
          <w:rFonts w:hint="eastAsia" w:ascii="楷体" w:hAnsi="楷体" w:eastAsia="楷体"/>
          <w:sz w:val="24"/>
        </w:rPr>
      </w:pPr>
      <w:r>
        <w:rPr>
          <w:rFonts w:ascii="楷体" w:hAnsi="楷体" w:eastAsia="楷体"/>
          <w:sz w:val="24"/>
        </w:rPr>
        <w:t>1.1</w:t>
      </w:r>
      <w:r>
        <w:rPr>
          <w:rFonts w:hint="eastAsia" w:ascii="楷体" w:hAnsi="楷体" w:eastAsia="楷体"/>
          <w:sz w:val="24"/>
        </w:rPr>
        <w:t>2 菏泽巨鑫源食品有限公司名下位于曹县青菏路以西，松花江路以南的在建工程科研楼，涉及借款人尚欠案外人孙学礼建工工程款1500万元，孙学礼已通过曹县法院起诉并由法院确权（案号（2019）鲁1721民初398号），已判决原告孙学礼对被告菏泽巨鑫源食品有限公司的科技研发大楼工程折价或拍卖的价款在1500万元内享有优先受偿权。</w:t>
      </w:r>
    </w:p>
    <w:p>
      <w:pPr>
        <w:snapToGrid w:val="0"/>
        <w:spacing w:line="360" w:lineRule="auto"/>
        <w:ind w:firstLine="470" w:firstLineChars="196"/>
        <w:rPr>
          <w:rFonts w:hint="default" w:ascii="楷体" w:hAnsi="楷体" w:eastAsia="楷体"/>
          <w:sz w:val="24"/>
          <w:lang w:val="en-US" w:eastAsia="zh-CN"/>
        </w:rPr>
      </w:pPr>
      <w:r>
        <w:rPr>
          <w:rFonts w:hint="eastAsia" w:ascii="楷体" w:hAnsi="楷体" w:eastAsia="楷体"/>
          <w:sz w:val="24"/>
          <w:lang w:val="en-US" w:eastAsia="zh-CN"/>
        </w:rPr>
        <w:t>1.13菏泽巨鑫源食品有限公司已由青岛市中级人民法院立案执行，青岛中院已向原债权银行发还执行案款105.5万元，该执行案款不在本次债权转让的范围内。</w:t>
      </w:r>
    </w:p>
    <w:p>
      <w:pPr>
        <w:snapToGrid w:val="0"/>
        <w:spacing w:line="360" w:lineRule="auto"/>
        <w:ind w:firstLine="470" w:firstLineChars="196"/>
        <w:rPr>
          <w:rFonts w:ascii="楷体" w:hAnsi="楷体" w:eastAsia="楷体"/>
          <w:sz w:val="24"/>
        </w:rPr>
      </w:pPr>
      <w:r>
        <w:rPr>
          <w:rFonts w:ascii="楷体" w:hAnsi="楷体" w:eastAsia="楷体"/>
          <w:sz w:val="24"/>
        </w:rPr>
        <w:t>1.1</w:t>
      </w:r>
      <w:r>
        <w:rPr>
          <w:rFonts w:hint="eastAsia" w:ascii="楷体" w:hAnsi="楷体" w:eastAsia="楷体"/>
          <w:sz w:val="24"/>
          <w:lang w:val="en-US" w:eastAsia="zh-CN"/>
        </w:rPr>
        <w:t>4</w:t>
      </w:r>
      <w:r>
        <w:rPr>
          <w:rFonts w:hint="eastAsia" w:ascii="楷体" w:hAnsi="楷体" w:eastAsia="楷体"/>
          <w:sz w:val="24"/>
        </w:rPr>
        <w:t xml:space="preserve"> 菏泽巨鑫源食品有限公司的保证人菏泽市格林食品有限公司提供的位于青菏南路路西汉江路1号的抵押房产，曽于2020年10月9日13时52分发生火灾，过火面积约3000平米，由曹县消防救援大队出具菏曹消火认字[2020]第0012号《火灾事故认定书》，因过火面积大，火灾毁损严重，除烧毁房屋外，抵押物整体存在不同程度的毁损，受影响严重，现处于修复中。上述火灾对抵押物价值及债权价值影响较大。</w:t>
      </w:r>
    </w:p>
    <w:p>
      <w:pPr>
        <w:snapToGrid w:val="0"/>
        <w:spacing w:line="360" w:lineRule="auto"/>
        <w:ind w:firstLine="470" w:firstLineChars="196"/>
        <w:rPr>
          <w:rFonts w:ascii="楷体" w:hAnsi="楷体" w:eastAsia="楷体"/>
          <w:sz w:val="24"/>
        </w:rPr>
      </w:pPr>
      <w:r>
        <w:rPr>
          <w:rFonts w:hint="eastAsia" w:ascii="楷体" w:hAnsi="楷体" w:eastAsia="楷体"/>
          <w:sz w:val="24"/>
        </w:rPr>
        <w:t>1.1</w:t>
      </w:r>
      <w:r>
        <w:rPr>
          <w:rFonts w:hint="eastAsia" w:ascii="楷体" w:hAnsi="楷体" w:eastAsia="楷体"/>
          <w:sz w:val="24"/>
          <w:lang w:val="en-US" w:eastAsia="zh-CN"/>
        </w:rPr>
        <w:t>5</w:t>
      </w:r>
      <w:r>
        <w:rPr>
          <w:rFonts w:hint="eastAsia" w:ascii="楷体" w:hAnsi="楷体" w:eastAsia="楷体"/>
          <w:sz w:val="24"/>
        </w:rPr>
        <w:t xml:space="preserve"> 山东永力起重机械股份有限公司的抵押物机械设备，因抵押人不配合调查，未能对抵押物现状近距离勘察，但通过向贷款行了解及厂区外远距离观察，得知该抵押设备非企业主要生产设备，且部分已经被废弃，现状较差。</w:t>
      </w:r>
    </w:p>
    <w:p>
      <w:pPr>
        <w:snapToGrid w:val="0"/>
        <w:spacing w:line="360" w:lineRule="auto"/>
        <w:ind w:firstLine="470" w:firstLineChars="196"/>
        <w:rPr>
          <w:rFonts w:hint="default" w:ascii="楷体" w:hAnsi="楷体" w:eastAsia="楷体"/>
          <w:sz w:val="24"/>
          <w:lang w:val="en-US" w:eastAsia="zh-CN"/>
        </w:rPr>
      </w:pPr>
      <w:r>
        <w:rPr>
          <w:rFonts w:hint="eastAsia" w:ascii="楷体" w:hAnsi="楷体" w:eastAsia="楷体"/>
          <w:sz w:val="24"/>
        </w:rPr>
        <w:t>1.1</w:t>
      </w:r>
      <w:r>
        <w:rPr>
          <w:rFonts w:hint="eastAsia" w:ascii="楷体" w:hAnsi="楷体" w:eastAsia="楷体"/>
          <w:sz w:val="24"/>
          <w:lang w:val="en-US" w:eastAsia="zh-CN"/>
        </w:rPr>
        <w:t>6</w:t>
      </w:r>
      <w:r>
        <w:rPr>
          <w:rFonts w:hint="eastAsia" w:ascii="楷体" w:hAnsi="楷体" w:eastAsia="楷体"/>
          <w:sz w:val="24"/>
        </w:rPr>
        <w:t xml:space="preserve"> 奥戈瑞车轮集团有限公司、青岛贯凯贸易有限公司已进入破产清算程序，合并申报确认债权9,902.03万元，为普通债权，共同分配受偿326.77万元，管理人对未处置的资产会进行二次补充分配，具体受偿金额目前未落实。另，该326.77万元破产受偿价款原债权银行未转让给我司</w:t>
      </w:r>
      <w:r>
        <w:rPr>
          <w:rFonts w:hint="eastAsia" w:ascii="楷体" w:hAnsi="楷体" w:eastAsia="楷体"/>
          <w:sz w:val="24"/>
          <w:lang w:eastAsia="zh-CN"/>
        </w:rPr>
        <w:t>，</w:t>
      </w:r>
      <w:r>
        <w:rPr>
          <w:rFonts w:hint="eastAsia" w:ascii="楷体" w:hAnsi="楷体" w:eastAsia="楷体"/>
          <w:sz w:val="24"/>
          <w:lang w:val="en-US" w:eastAsia="zh-CN"/>
        </w:rPr>
        <w:t>故该326.77万元分配款项不在本次债权转让范围内。</w:t>
      </w:r>
    </w:p>
    <w:p>
      <w:pPr>
        <w:snapToGrid w:val="0"/>
        <w:spacing w:line="360" w:lineRule="auto"/>
        <w:ind w:firstLine="470" w:firstLineChars="196"/>
        <w:rPr>
          <w:rFonts w:ascii="楷体" w:hAnsi="楷体" w:eastAsia="楷体"/>
          <w:sz w:val="24"/>
        </w:rPr>
      </w:pPr>
      <w:r>
        <w:rPr>
          <w:rFonts w:hint="eastAsia" w:ascii="楷体" w:hAnsi="楷体" w:eastAsia="楷体"/>
          <w:sz w:val="24"/>
        </w:rPr>
        <w:t>1.1</w:t>
      </w:r>
      <w:r>
        <w:rPr>
          <w:rFonts w:hint="eastAsia" w:ascii="楷体" w:hAnsi="楷体" w:eastAsia="楷体"/>
          <w:sz w:val="24"/>
          <w:lang w:val="en-US" w:eastAsia="zh-CN"/>
        </w:rPr>
        <w:t>7</w:t>
      </w:r>
      <w:r>
        <w:rPr>
          <w:rFonts w:hint="eastAsia" w:ascii="楷体" w:hAnsi="楷体" w:eastAsia="楷体"/>
          <w:sz w:val="24"/>
        </w:rPr>
        <w:t>青岛绿丰食品有限公司1户法院判决保证人刘佳元、刘卫卫、刘涛不承担保证责任。</w:t>
      </w:r>
    </w:p>
    <w:p>
      <w:pPr>
        <w:snapToGrid w:val="0"/>
        <w:spacing w:line="360" w:lineRule="auto"/>
        <w:ind w:firstLine="480"/>
        <w:rPr>
          <w:rFonts w:ascii="楷体" w:hAnsi="楷体" w:eastAsia="楷体"/>
          <w:sz w:val="24"/>
        </w:rPr>
      </w:pPr>
      <w:r>
        <w:rPr>
          <w:rFonts w:ascii="楷体" w:hAnsi="楷体" w:eastAsia="楷体"/>
          <w:sz w:val="24"/>
        </w:rPr>
        <w:t>委托人对于上述瑕疵或风险不发表任何判断性结论，由买受人自行作出判断，委托人及前手债权人不承担任何责任。</w:t>
      </w:r>
    </w:p>
    <w:p>
      <w:pPr>
        <w:spacing w:line="360" w:lineRule="auto"/>
        <w:ind w:firstLine="480" w:firstLineChars="200"/>
        <w:rPr>
          <w:rFonts w:ascii="楷体" w:hAnsi="楷体" w:eastAsia="楷体"/>
          <w:sz w:val="24"/>
        </w:rPr>
      </w:pPr>
      <w:r>
        <w:rPr>
          <w:rFonts w:ascii="楷体" w:hAnsi="楷体" w:eastAsia="楷体"/>
          <w:sz w:val="24"/>
        </w:rPr>
        <w:t xml:space="preserve">2、 </w:t>
      </w:r>
      <w:r>
        <w:rPr>
          <w:rFonts w:hint="eastAsia" w:ascii="楷体" w:hAnsi="楷体" w:eastAsia="楷体"/>
          <w:sz w:val="24"/>
        </w:rPr>
        <w:t>拍卖人应将第</w:t>
      </w:r>
      <w:r>
        <w:rPr>
          <w:rFonts w:ascii="楷体" w:hAnsi="楷体" w:eastAsia="楷体"/>
          <w:sz w:val="24"/>
        </w:rPr>
        <w:t>1条所述的瑕疵与风险记载于其对竞买人披露的竞买须知之中，连同拍卖规则、竞买须知、《债权转让协议》及其他文件一并向竞买人进行公示，告知竞买人仔细审阅，并在确认完整、全面地理解全部上述内容后参加竞买。买受人一经应价，即证明买受人已完整、全面地理解全部上述内容，并充分认知受让拍卖债权可能遭受的一切风险，受让人自愿承担由上述风险造成的一切损失以及不能获得相应预期利益的后果。</w:t>
      </w:r>
    </w:p>
    <w:p>
      <w:pPr>
        <w:spacing w:line="360" w:lineRule="auto"/>
        <w:ind w:firstLine="480" w:firstLineChars="200"/>
        <w:rPr>
          <w:rFonts w:ascii="楷体" w:hAnsi="楷体" w:eastAsia="楷体"/>
          <w:sz w:val="24"/>
        </w:rPr>
      </w:pPr>
      <w:r>
        <w:rPr>
          <w:rFonts w:ascii="楷体" w:hAnsi="楷体" w:eastAsia="楷体"/>
          <w:sz w:val="24"/>
        </w:rPr>
        <w:t>3、拍卖人确认在本协议签署之前，在签署《保密承诺函》的基础上，委托人已经向拍卖人充分展示了拍卖标的涉及的相关权属文件，由于档案管理的需要委托人不便向竞买人展示原件。因此仅向拍卖人展示原件，并由拍卖人确认复印件与原件一致无误后将相应复印件交拍卖人持有，由拍卖人向竞买人展示与原件一致的复印件，拍卖人已经充分知悉拍卖标的的来源、瑕疵和风险。除本附件说明的瑕疵及风险外，其余尚有的潜在瑕疵及风险由拍卖人及竞买人根据债权相关文件及尽职调查自行判断。</w:t>
      </w:r>
    </w:p>
    <w:p>
      <w:pPr>
        <w:spacing w:line="360" w:lineRule="auto"/>
        <w:ind w:firstLine="480" w:firstLineChars="200"/>
        <w:rPr>
          <w:rFonts w:ascii="楷体" w:hAnsi="楷体" w:eastAsia="楷体"/>
          <w:b/>
          <w:sz w:val="24"/>
          <w:u w:val="single"/>
        </w:rPr>
      </w:pPr>
      <w:r>
        <w:rPr>
          <w:rFonts w:ascii="楷体" w:hAnsi="楷体" w:eastAsia="楷体"/>
          <w:sz w:val="24"/>
        </w:rPr>
        <w:t>4、委托人与拍卖人双方签署《委托拍卖协议》，即视为委托人已经就拍卖标的的来源、瑕疵和风险向拍卖人完成了充分的披露和说明，委托人不再就拍卖标的的来源、瑕疵和风险的披露和说明承担任何责任。</w:t>
      </w:r>
      <w:r>
        <w:rPr>
          <w:rFonts w:ascii="楷体" w:hAnsi="楷体" w:eastAsia="楷体"/>
          <w:b/>
          <w:sz w:val="24"/>
          <w:u w:val="single"/>
        </w:rPr>
        <w:br w:type="page"/>
      </w:r>
    </w:p>
    <w:p>
      <w:pPr>
        <w:pStyle w:val="5"/>
        <w:tabs>
          <w:tab w:val="left" w:pos="540"/>
        </w:tabs>
        <w:spacing w:after="0" w:line="360" w:lineRule="auto"/>
        <w:ind w:left="0" w:leftChars="0"/>
        <w:rPr>
          <w:rFonts w:ascii="楷体" w:hAnsi="楷体" w:eastAsia="楷体"/>
          <w:b/>
          <w:sz w:val="24"/>
        </w:rPr>
      </w:pPr>
    </w:p>
    <w:p>
      <w:pPr>
        <w:spacing w:line="360" w:lineRule="auto"/>
        <w:jc w:val="center"/>
        <w:rPr>
          <w:rFonts w:ascii="楷体" w:hAnsi="楷体" w:eastAsia="楷体"/>
          <w:b/>
          <w:sz w:val="24"/>
        </w:rPr>
      </w:pPr>
      <w:r>
        <w:rPr>
          <w:rFonts w:hint="eastAsia" w:ascii="楷体" w:hAnsi="楷体" w:eastAsia="楷体"/>
          <w:b/>
          <w:sz w:val="24"/>
        </w:rPr>
        <w:t>附件六：保密承诺函</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rPr>
          <w:rFonts w:ascii="楷体" w:hAnsi="楷体" w:eastAsia="楷体"/>
          <w:sz w:val="24"/>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ascii="楷体" w:hAnsi="楷体" w:eastAsia="楷体"/>
          <w:sz w:val="24"/>
        </w:rPr>
        <w:t>:</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/我单位拟参加贵公司拟</w:t>
      </w:r>
      <w:r>
        <w:rPr>
          <w:rFonts w:hint="eastAsia" w:ascii="楷体" w:hAnsi="楷体" w:eastAsia="楷体"/>
          <w:sz w:val="24"/>
        </w:rPr>
        <w:t>于</w:t>
      </w:r>
      <w:r>
        <w:rPr>
          <w:rFonts w:ascii="楷体" w:hAnsi="楷体" w:eastAsia="楷体"/>
          <w:sz w:val="24"/>
          <w:u w:val="single"/>
        </w:rPr>
        <w:t>20</w:t>
      </w:r>
      <w:r>
        <w:rPr>
          <w:rFonts w:hint="eastAsia" w:ascii="楷体" w:hAnsi="楷体" w:eastAsia="楷体"/>
          <w:sz w:val="24"/>
          <w:u w:val="single"/>
        </w:rPr>
        <w:t>20</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u w:val="single"/>
          <w:lang w:val="en-US" w:eastAsia="zh-CN"/>
        </w:rPr>
        <w:t>12</w:t>
      </w:r>
      <w:r>
        <w:rPr>
          <w:rFonts w:ascii="楷体" w:hAnsi="楷体" w:eastAsia="楷体"/>
          <w:sz w:val="24"/>
          <w:u w:val="single"/>
        </w:rPr>
        <w:t xml:space="preserve">  </w:t>
      </w:r>
      <w:r>
        <w:rPr>
          <w:rFonts w:hint="eastAsia" w:ascii="楷体" w:hAnsi="楷体" w:eastAsia="楷体"/>
          <w:sz w:val="24"/>
        </w:rPr>
        <w:t>月</w:t>
      </w:r>
      <w:r>
        <w:rPr>
          <w:rFonts w:hint="eastAsia" w:ascii="楷体" w:hAnsi="楷体" w:eastAsia="楷体"/>
          <w:sz w:val="24"/>
          <w:u w:val="single"/>
          <w:lang w:val="en-US" w:eastAsia="zh-CN"/>
        </w:rPr>
        <w:t>21</w:t>
      </w:r>
      <w:r>
        <w:rPr>
          <w:rFonts w:hint="eastAsia" w:ascii="楷体" w:hAnsi="楷体" w:eastAsia="楷体"/>
          <w:sz w:val="24"/>
        </w:rPr>
        <w:t>日由</w:t>
      </w:r>
      <w:r>
        <w:rPr>
          <w:rFonts w:ascii="楷体" w:hAnsi="楷体" w:eastAsia="楷体"/>
          <w:sz w:val="24"/>
          <w:u w:val="single"/>
        </w:rPr>
        <w:t xml:space="preserve"> </w:t>
      </w:r>
      <w:r>
        <w:rPr>
          <w:rFonts w:hint="eastAsia" w:ascii="楷体" w:hAnsi="楷体" w:eastAsia="楷体"/>
          <w:sz w:val="24"/>
          <w:u w:val="single"/>
        </w:rPr>
        <w:t>光彩银星拍卖有限公司</w:t>
      </w:r>
      <w:r>
        <w:rPr>
          <w:rFonts w:hint="eastAsia" w:ascii="楷体" w:hAnsi="楷体" w:eastAsia="楷体"/>
          <w:sz w:val="24"/>
        </w:rPr>
        <w:t>拍卖行举行的关于</w:t>
      </w:r>
      <w:r>
        <w:rPr>
          <w:rFonts w:hint="eastAsia" w:ascii="楷体" w:hAnsi="楷体" w:eastAsia="楷体"/>
          <w:sz w:val="24"/>
          <w:u w:val="single"/>
        </w:rPr>
        <w:t>菏泽巨鑫源食品有限公司、山东奥戈瑞轮胎有限公司、青岛贯凯贸易有限公司、青岛恒运源铜业有限公司、青岛柏丰源国际贸易有限公司、山东永力起重机械股份有限公司、山东合力新材料有限公司、青岛绿丰食品有限公司</w:t>
      </w:r>
      <w:r>
        <w:rPr>
          <w:rFonts w:hint="eastAsia" w:ascii="楷体" w:hAnsi="楷体" w:eastAsia="楷体"/>
          <w:sz w:val="24"/>
        </w:rPr>
        <w:t>债权拍卖标的的竞买，为做好竞买报价的前期调查，我</w:t>
      </w:r>
      <w:r>
        <w:rPr>
          <w:rFonts w:ascii="楷体" w:hAnsi="楷体" w:eastAsia="楷体"/>
          <w:sz w:val="24"/>
        </w:rPr>
        <w:t>/我单位需向拍卖机构查询/复印贵公司关于拍卖标的的有关权属文件，为此，特向贵公司承诺：不论是否最终参与拍卖标的的竞买，亦不论是否最终作为拍卖标的的受让人，我/我单位将严格保守有关秘密，不向任何第三方披露、泄露、散布、传播有关拍卖标的的任何信息，对于因我/我单位及我单位雇员、代理人、受我单位委托的中介机构原因导致任何保密信息泄露的，我/我单位将无条件承担全部责任，赔偿贵公司因此所遭受的一切损失和所发生的一切费用。</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r>
        <w:rPr>
          <w:rFonts w:ascii="楷体" w:hAnsi="楷体" w:eastAsia="楷体"/>
          <w:sz w:val="24"/>
        </w:rPr>
        <w:t xml:space="preserve">                             承诺人：</w:t>
      </w:r>
    </w:p>
    <w:p>
      <w:pPr>
        <w:spacing w:line="360" w:lineRule="auto"/>
        <w:ind w:firstLine="480" w:firstLineChars="200"/>
        <w:rPr>
          <w:rFonts w:ascii="楷体" w:hAnsi="楷体" w:eastAsia="楷体"/>
          <w:sz w:val="24"/>
        </w:rPr>
      </w:pPr>
      <w:r>
        <w:rPr>
          <w:rFonts w:ascii="楷体" w:hAnsi="楷体" w:eastAsia="楷体"/>
          <w:sz w:val="24"/>
        </w:rPr>
        <w:t xml:space="preserve">                            （承诺人单位公章）</w:t>
      </w:r>
    </w:p>
    <w:p>
      <w:pPr>
        <w:spacing w:line="360" w:lineRule="auto"/>
        <w:ind w:firstLine="480" w:firstLineChars="200"/>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2020</w:t>
      </w:r>
      <w:r>
        <w:rPr>
          <w:rFonts w:ascii="楷体" w:hAnsi="楷体" w:eastAsia="楷体"/>
          <w:sz w:val="24"/>
        </w:rPr>
        <w:t>年</w:t>
      </w:r>
      <w:r>
        <w:rPr>
          <w:rFonts w:hint="eastAsia" w:ascii="楷体" w:hAnsi="楷体" w:eastAsia="楷体"/>
          <w:sz w:val="24"/>
          <w:lang w:val="en-US" w:eastAsia="zh-CN"/>
        </w:rPr>
        <w:t>12</w:t>
      </w:r>
      <w:r>
        <w:rPr>
          <w:rFonts w:ascii="楷体" w:hAnsi="楷体" w:eastAsia="楷体"/>
          <w:sz w:val="24"/>
        </w:rPr>
        <w:t>月</w:t>
      </w:r>
      <w:r>
        <w:rPr>
          <w:rFonts w:hint="eastAsia" w:ascii="楷体" w:hAnsi="楷体" w:eastAsia="楷体"/>
          <w:sz w:val="24"/>
          <w:lang w:val="en-US" w:eastAsia="zh-CN"/>
        </w:rPr>
        <w:t>14</w:t>
      </w:r>
      <w:r>
        <w:rPr>
          <w:rFonts w:ascii="楷体" w:hAnsi="楷体" w:eastAsia="楷体"/>
          <w:sz w:val="24"/>
        </w:rPr>
        <w:t>日</w:t>
      </w:r>
    </w:p>
    <w:p>
      <w:pPr>
        <w:spacing w:line="360" w:lineRule="auto"/>
        <w:ind w:firstLine="480" w:firstLineChars="200"/>
        <w:rPr>
          <w:rFonts w:ascii="楷体" w:hAnsi="楷体" w:eastAsia="楷体"/>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pStyle w:val="5"/>
        <w:tabs>
          <w:tab w:val="left" w:pos="540"/>
        </w:tabs>
        <w:spacing w:after="0" w:line="360" w:lineRule="auto"/>
        <w:ind w:left="0" w:leftChars="0"/>
        <w:jc w:val="center"/>
        <w:rPr>
          <w:rFonts w:ascii="楷体" w:hAnsi="楷体" w:eastAsia="楷体"/>
          <w:b/>
          <w:sz w:val="24"/>
        </w:rPr>
      </w:pPr>
    </w:p>
    <w:p>
      <w:pPr>
        <w:tabs>
          <w:tab w:val="left" w:pos="8280"/>
        </w:tabs>
        <w:adjustRightInd w:val="0"/>
        <w:snapToGrid w:val="0"/>
        <w:spacing w:line="360" w:lineRule="auto"/>
        <w:ind w:right="-153" w:firstLine="1446" w:firstLineChars="600"/>
        <w:jc w:val="center"/>
        <w:rPr>
          <w:rFonts w:ascii="楷体" w:hAnsi="楷体" w:eastAsia="楷体"/>
          <w:b/>
          <w:sz w:val="24"/>
        </w:rPr>
      </w:pPr>
    </w:p>
    <w:p>
      <w:pPr>
        <w:tabs>
          <w:tab w:val="left" w:pos="8280"/>
        </w:tabs>
        <w:adjustRightInd w:val="0"/>
        <w:snapToGrid w:val="0"/>
        <w:spacing w:line="360" w:lineRule="auto"/>
        <w:ind w:right="-153"/>
        <w:jc w:val="center"/>
        <w:rPr>
          <w:rFonts w:ascii="楷体" w:hAnsi="楷体" w:eastAsia="楷体"/>
          <w:b/>
          <w:sz w:val="24"/>
        </w:rPr>
      </w:pPr>
    </w:p>
    <w:p>
      <w:pPr>
        <w:tabs>
          <w:tab w:val="left" w:pos="8280"/>
        </w:tabs>
        <w:adjustRightInd w:val="0"/>
        <w:snapToGrid w:val="0"/>
        <w:spacing w:line="360" w:lineRule="auto"/>
        <w:ind w:right="-153"/>
        <w:jc w:val="center"/>
        <w:rPr>
          <w:rFonts w:ascii="楷体" w:hAnsi="楷体" w:eastAsia="楷体"/>
          <w:sz w:val="24"/>
        </w:rPr>
      </w:pPr>
      <w:r>
        <w:rPr>
          <w:rFonts w:hint="eastAsia" w:ascii="楷体" w:hAnsi="楷体" w:eastAsia="楷体"/>
          <w:b/>
          <w:sz w:val="24"/>
        </w:rPr>
        <w:t>附件七：竞买人参加竞买承诺书</w:t>
      </w:r>
    </w:p>
    <w:p>
      <w:pPr>
        <w:spacing w:line="360" w:lineRule="auto"/>
        <w:rPr>
          <w:rFonts w:ascii="楷体" w:hAnsi="楷体" w:eastAsia="楷体"/>
          <w:sz w:val="24"/>
          <w:u w:val="single"/>
        </w:rPr>
      </w:pPr>
      <w:r>
        <w:rPr>
          <w:rFonts w:hint="eastAsia" w:ascii="楷体" w:hAnsi="楷体" w:eastAsia="楷体"/>
          <w:sz w:val="24"/>
        </w:rPr>
        <w:t>中国长城资产管理股份有限公司</w:t>
      </w:r>
      <w:r>
        <w:rPr>
          <w:rFonts w:hint="eastAsia" w:ascii="楷体" w:hAnsi="楷体" w:eastAsia="楷体"/>
          <w:sz w:val="24"/>
          <w:u w:val="single"/>
        </w:rPr>
        <w:t>山东省分公司</w:t>
      </w:r>
      <w:r>
        <w:rPr>
          <w:rFonts w:hint="eastAsia" w:ascii="楷体" w:hAnsi="楷体" w:eastAsia="楷体"/>
          <w:sz w:val="24"/>
        </w:rPr>
        <w:t>：</w:t>
      </w:r>
    </w:p>
    <w:p>
      <w:pPr>
        <w:spacing w:line="360" w:lineRule="auto"/>
        <w:rPr>
          <w:rFonts w:ascii="楷体" w:hAnsi="楷体" w:eastAsia="楷体"/>
          <w:sz w:val="24"/>
        </w:rPr>
      </w:pPr>
      <w:r>
        <w:rPr>
          <w:rFonts w:hint="eastAsia" w:ascii="楷体" w:hAnsi="楷体" w:eastAsia="楷体"/>
          <w:sz w:val="24"/>
          <w:u w:val="single"/>
        </w:rPr>
        <w:t>光彩银星拍卖有限公司</w:t>
      </w:r>
      <w:r>
        <w:rPr>
          <w:rFonts w:ascii="楷体" w:hAnsi="楷体" w:eastAsia="楷体"/>
          <w:sz w:val="24"/>
          <w:u w:val="single"/>
        </w:rPr>
        <w:t xml:space="preserve"> </w:t>
      </w:r>
      <w:r>
        <w:rPr>
          <w:rFonts w:hint="eastAsia" w:ascii="楷体" w:hAnsi="楷体" w:eastAsia="楷体"/>
          <w:sz w:val="24"/>
        </w:rPr>
        <w:t>拍卖行：</w:t>
      </w:r>
    </w:p>
    <w:p>
      <w:pPr>
        <w:spacing w:line="360" w:lineRule="auto"/>
        <w:ind w:firstLine="480" w:firstLineChars="200"/>
        <w:rPr>
          <w:rFonts w:ascii="楷体" w:hAnsi="楷体" w:eastAsia="楷体"/>
          <w:sz w:val="24"/>
        </w:rPr>
      </w:pPr>
      <w:r>
        <w:rPr>
          <w:rFonts w:hint="eastAsia" w:ascii="楷体" w:hAnsi="楷体" w:eastAsia="楷体"/>
          <w:sz w:val="24"/>
        </w:rPr>
        <w:t>我</w:t>
      </w:r>
      <w:r>
        <w:rPr>
          <w:rFonts w:ascii="楷体" w:hAnsi="楷体" w:eastAsia="楷体"/>
          <w:sz w:val="24"/>
        </w:rPr>
        <w:t>/我单位拟参加中国长城资产管理股份有限公司</w:t>
      </w:r>
      <w:r>
        <w:rPr>
          <w:rFonts w:hint="eastAsia" w:ascii="楷体" w:hAnsi="楷体" w:eastAsia="楷体"/>
          <w:sz w:val="24"/>
          <w:u w:val="single"/>
        </w:rPr>
        <w:t>山东省分公司</w:t>
      </w:r>
      <w:r>
        <w:rPr>
          <w:rFonts w:hint="eastAsia" w:ascii="楷体" w:hAnsi="楷体" w:eastAsia="楷体"/>
          <w:sz w:val="24"/>
        </w:rPr>
        <w:t>拟于</w:t>
      </w:r>
      <w:r>
        <w:rPr>
          <w:rFonts w:ascii="楷体" w:hAnsi="楷体" w:eastAsia="楷体"/>
          <w:sz w:val="24"/>
          <w:u w:val="single"/>
        </w:rPr>
        <w:t>20</w:t>
      </w:r>
      <w:r>
        <w:rPr>
          <w:rFonts w:hint="eastAsia" w:ascii="楷体" w:hAnsi="楷体" w:eastAsia="楷体"/>
          <w:sz w:val="24"/>
          <w:u w:val="single"/>
        </w:rPr>
        <w:t>20</w:t>
      </w:r>
      <w:r>
        <w:rPr>
          <w:rFonts w:hint="eastAsia" w:ascii="楷体" w:hAnsi="楷体" w:eastAsia="楷体"/>
          <w:sz w:val="24"/>
        </w:rPr>
        <w:t>年</w:t>
      </w:r>
      <w:r>
        <w:rPr>
          <w:rFonts w:ascii="楷体" w:hAnsi="楷体" w:eastAsia="楷体"/>
          <w:sz w:val="24"/>
          <w:u w:val="single"/>
        </w:rPr>
        <w:t xml:space="preserve"> </w:t>
      </w:r>
      <w:r>
        <w:rPr>
          <w:rFonts w:hint="eastAsia" w:ascii="楷体" w:hAnsi="楷体" w:eastAsia="楷体"/>
          <w:sz w:val="24"/>
          <w:u w:val="single"/>
          <w:lang w:val="en-US" w:eastAsia="zh-CN"/>
        </w:rPr>
        <w:t>12</w:t>
      </w:r>
      <w:r>
        <w:rPr>
          <w:rFonts w:ascii="楷体" w:hAnsi="楷体" w:eastAsia="楷体"/>
          <w:sz w:val="24"/>
          <w:u w:val="single"/>
        </w:rPr>
        <w:t xml:space="preserve">  </w:t>
      </w:r>
      <w:r>
        <w:rPr>
          <w:rFonts w:hint="eastAsia" w:ascii="楷体" w:hAnsi="楷体" w:eastAsia="楷体"/>
          <w:sz w:val="24"/>
        </w:rPr>
        <w:t>月</w:t>
      </w:r>
      <w:r>
        <w:rPr>
          <w:rFonts w:hint="eastAsia" w:ascii="楷体" w:hAnsi="楷体" w:eastAsia="楷体"/>
          <w:sz w:val="24"/>
          <w:u w:val="single"/>
          <w:lang w:val="en-US" w:eastAsia="zh-CN"/>
        </w:rPr>
        <w:t>21</w:t>
      </w:r>
      <w:r>
        <w:rPr>
          <w:rFonts w:hint="eastAsia" w:ascii="楷体" w:hAnsi="楷体" w:eastAsia="楷体"/>
          <w:sz w:val="24"/>
        </w:rPr>
        <w:t>日由</w:t>
      </w:r>
      <w:r>
        <w:rPr>
          <w:rFonts w:hint="eastAsia" w:ascii="楷体" w:hAnsi="楷体" w:eastAsia="楷体"/>
          <w:sz w:val="24"/>
          <w:u w:val="single"/>
        </w:rPr>
        <w:t>光彩银星拍卖有限公司</w:t>
      </w:r>
      <w:r>
        <w:rPr>
          <w:rFonts w:hint="eastAsia" w:ascii="楷体" w:hAnsi="楷体" w:eastAsia="楷体"/>
          <w:sz w:val="24"/>
        </w:rPr>
        <w:t>拍卖行举行的关于</w:t>
      </w:r>
      <w:r>
        <w:rPr>
          <w:rFonts w:hint="eastAsia" w:ascii="楷体" w:hAnsi="楷体" w:eastAsia="楷体"/>
          <w:sz w:val="24"/>
          <w:u w:val="single"/>
        </w:rPr>
        <w:t>菏泽巨鑫源食品有限公司、山东奥戈瑞轮胎有限公司、青岛贯凯贸易有限公司、青岛恒运源铜业有限公司、青岛柏丰源国际贸易有限公司、山东永力起重机械股份有限公司、山东合力新材料有限公司、青岛绿丰食品有限公司</w:t>
      </w:r>
      <w:r>
        <w:rPr>
          <w:rFonts w:hint="eastAsia" w:ascii="楷体" w:hAnsi="楷体" w:eastAsia="楷体"/>
          <w:sz w:val="24"/>
        </w:rPr>
        <w:t>债权拍卖标的的竞买，我</w:t>
      </w:r>
      <w:r>
        <w:rPr>
          <w:rFonts w:ascii="楷体" w:hAnsi="楷体" w:eastAsia="楷体"/>
          <w:sz w:val="24"/>
        </w:rPr>
        <w:t>/我单位已认真阅读了拍卖公告，并在办理竞买手续前仔细阅读了拍卖规则和竞买须知（包括拍卖债权的瑕疵披露及拟签署的《债权转让协议》等所附材料）有关内容，并就自认为须进一步了解的问题向拍卖机构进行了咨询，我/我单位确认已全面、清楚地知悉和理解并接受拍卖公告、拍卖规则以及竞买须知的全部内容，我/我单位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若存在以上情形，我/我单位将自愿承担全部责任，赔偿中国长城资产管理股份有限公司</w:t>
      </w:r>
      <w:r>
        <w:rPr>
          <w:rFonts w:hint="eastAsia" w:ascii="楷体" w:hAnsi="楷体" w:eastAsia="楷体"/>
          <w:sz w:val="24"/>
          <w:u w:val="single"/>
        </w:rPr>
        <w:t>山东省分公司</w:t>
      </w:r>
      <w:r>
        <w:rPr>
          <w:rFonts w:hint="eastAsia" w:ascii="楷体" w:hAnsi="楷体" w:eastAsia="楷体"/>
          <w:sz w:val="24"/>
        </w:rPr>
        <w:t>以及</w:t>
      </w:r>
      <w:r>
        <w:rPr>
          <w:rFonts w:hint="eastAsia" w:ascii="楷体" w:hAnsi="楷体" w:eastAsia="楷体"/>
          <w:sz w:val="24"/>
          <w:u w:val="single"/>
        </w:rPr>
        <w:t>光彩银星拍卖有限公司</w:t>
      </w:r>
      <w:r>
        <w:rPr>
          <w:rFonts w:hint="eastAsia" w:ascii="楷体" w:hAnsi="楷体" w:eastAsia="楷体"/>
          <w:sz w:val="24"/>
        </w:rPr>
        <w:t>因此所遭受的全部损失。我</w:t>
      </w:r>
      <w:r>
        <w:rPr>
          <w:rFonts w:ascii="楷体" w:hAnsi="楷体" w:eastAsia="楷体"/>
          <w:sz w:val="24"/>
        </w:rPr>
        <w:t>/我单位进一步向中国长城资产管理股份有限公司</w:t>
      </w:r>
      <w:r>
        <w:rPr>
          <w:rFonts w:hint="eastAsia" w:ascii="楷体" w:hAnsi="楷体" w:eastAsia="楷体"/>
          <w:sz w:val="24"/>
          <w:u w:val="single"/>
        </w:rPr>
        <w:t>山东省分公司</w:t>
      </w:r>
      <w:r>
        <w:rPr>
          <w:rFonts w:hint="eastAsia" w:ascii="楷体" w:hAnsi="楷体" w:eastAsia="楷体"/>
          <w:sz w:val="24"/>
        </w:rPr>
        <w:t>承诺，在受让拍卖标的后，我</w:t>
      </w:r>
      <w:r>
        <w:rPr>
          <w:rFonts w:ascii="楷体" w:hAnsi="楷体" w:eastAsia="楷体"/>
          <w:sz w:val="24"/>
        </w:rPr>
        <w:t>/我单位将自愿独自承担拍卖标的因各种瑕疵导致的预期利益不能实现的风险或损失，不因该等瑕疵或风险而向中国长城资产管理股份有限公司公司</w:t>
      </w:r>
      <w:r>
        <w:rPr>
          <w:rFonts w:hint="eastAsia" w:ascii="楷体" w:hAnsi="楷体" w:eastAsia="楷体"/>
          <w:sz w:val="24"/>
          <w:u w:val="single"/>
        </w:rPr>
        <w:t>山东省分公司</w:t>
      </w:r>
      <w:r>
        <w:rPr>
          <w:rFonts w:hint="eastAsia" w:ascii="楷体" w:hAnsi="楷体" w:eastAsia="楷体"/>
          <w:sz w:val="24"/>
        </w:rPr>
        <w:t>及前手债权人主张任何责任。</w:t>
      </w:r>
    </w:p>
    <w:p>
      <w:pPr>
        <w:spacing w:line="360" w:lineRule="auto"/>
        <w:ind w:firstLine="480" w:firstLineChars="200"/>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 xml:space="preserve">        </w:t>
      </w:r>
      <w:r>
        <w:rPr>
          <w:rFonts w:ascii="楷体" w:hAnsi="楷体" w:eastAsia="楷体"/>
          <w:sz w:val="24"/>
        </w:rPr>
        <w:t>承诺人：</w:t>
      </w:r>
    </w:p>
    <w:p>
      <w:pPr>
        <w:spacing w:line="360" w:lineRule="auto"/>
        <w:ind w:firstLine="480" w:firstLineChars="200"/>
        <w:rPr>
          <w:rFonts w:ascii="楷体" w:hAnsi="楷体" w:eastAsia="楷体"/>
          <w:sz w:val="24"/>
        </w:rPr>
      </w:pPr>
      <w:r>
        <w:rPr>
          <w:rFonts w:ascii="楷体" w:hAnsi="楷体" w:eastAsia="楷体"/>
          <w:sz w:val="24"/>
        </w:rPr>
        <w:t xml:space="preserve">                 </w:t>
      </w:r>
      <w:r>
        <w:rPr>
          <w:rFonts w:hint="eastAsia" w:ascii="楷体" w:hAnsi="楷体" w:eastAsia="楷体"/>
          <w:sz w:val="24"/>
          <w:lang w:val="en-US" w:eastAsia="zh-CN"/>
        </w:rPr>
        <w:t xml:space="preserve">           </w:t>
      </w:r>
      <w:r>
        <w:rPr>
          <w:rFonts w:ascii="楷体" w:hAnsi="楷体" w:eastAsia="楷体"/>
          <w:sz w:val="24"/>
        </w:rPr>
        <w:t>（承诺人单位公章）</w:t>
      </w:r>
      <w:r>
        <w:rPr>
          <w:rFonts w:hint="eastAsia" w:ascii="楷体" w:hAnsi="楷体" w:eastAsia="楷体"/>
          <w:sz w:val="24"/>
        </w:rPr>
        <w:t xml:space="preserve">     </w:t>
      </w:r>
      <w:r>
        <w:rPr>
          <w:rFonts w:ascii="楷体" w:hAnsi="楷体" w:eastAsia="楷体"/>
          <w:sz w:val="24"/>
        </w:rPr>
        <w:t xml:space="preserve"> </w:t>
      </w:r>
    </w:p>
    <w:p>
      <w:pPr>
        <w:spacing w:line="360" w:lineRule="auto"/>
        <w:ind w:firstLine="4080" w:firstLineChars="1700"/>
        <w:rPr>
          <w:rFonts w:ascii="楷体" w:hAnsi="楷体" w:eastAsia="楷体"/>
          <w:sz w:val="24"/>
        </w:rPr>
      </w:pPr>
      <w:r>
        <w:rPr>
          <w:rFonts w:hint="eastAsia" w:ascii="楷体" w:hAnsi="楷体" w:eastAsia="楷体"/>
          <w:sz w:val="24"/>
          <w:lang w:val="en-US" w:eastAsia="zh-CN"/>
        </w:rPr>
        <w:t>2020</w:t>
      </w:r>
      <w:r>
        <w:rPr>
          <w:rFonts w:ascii="楷体" w:hAnsi="楷体" w:eastAsia="楷体"/>
          <w:sz w:val="24"/>
        </w:rPr>
        <w:t>年</w:t>
      </w:r>
      <w:r>
        <w:rPr>
          <w:rFonts w:hint="eastAsia" w:ascii="楷体" w:hAnsi="楷体" w:eastAsia="楷体"/>
          <w:sz w:val="24"/>
          <w:lang w:val="en-US" w:eastAsia="zh-CN"/>
        </w:rPr>
        <w:t>12</w:t>
      </w:r>
      <w:r>
        <w:rPr>
          <w:rFonts w:ascii="楷体" w:hAnsi="楷体" w:eastAsia="楷体"/>
          <w:sz w:val="24"/>
        </w:rPr>
        <w:t>月</w:t>
      </w:r>
      <w:r>
        <w:rPr>
          <w:rFonts w:hint="eastAsia" w:ascii="楷体" w:hAnsi="楷体" w:eastAsia="楷体"/>
          <w:sz w:val="24"/>
          <w:lang w:val="en-US" w:eastAsia="zh-CN"/>
        </w:rPr>
        <w:t>14</w:t>
      </w:r>
      <w:r>
        <w:rPr>
          <w:rFonts w:ascii="楷体" w:hAnsi="楷体" w:eastAsia="楷体"/>
          <w:sz w:val="24"/>
        </w:rPr>
        <w:t>日</w:t>
      </w:r>
    </w:p>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Thousand"/>
      <w:pStyle w:val="17"/>
      <w:lvlText w:val="第%1条"/>
      <w:lvlJc w:val="left"/>
      <w:pPr>
        <w:tabs>
          <w:tab w:val="left" w:pos="720"/>
        </w:tabs>
        <w:ind w:left="425" w:hanging="425"/>
      </w:pPr>
      <w:rPr>
        <w:rFonts w:hint="eastAsia" w:ascii="华文细黑" w:hAnsi="华文细黑" w:eastAsia="华文细黑"/>
        <w:b/>
        <w:i w:val="0"/>
        <w:sz w:val="22"/>
        <w:szCs w:val="22"/>
      </w:rPr>
    </w:lvl>
    <w:lvl w:ilvl="1" w:tentative="0">
      <w:start w:val="1"/>
      <w:numFmt w:val="decimal"/>
      <w:pStyle w:val="15"/>
      <w:isLgl/>
      <w:lvlText w:val="%1.%2"/>
      <w:lvlJc w:val="left"/>
      <w:pPr>
        <w:tabs>
          <w:tab w:val="left" w:pos="2160"/>
        </w:tabs>
        <w:ind w:left="2007" w:hanging="567"/>
      </w:pPr>
      <w:rPr>
        <w:rFonts w:hint="eastAsia" w:ascii="华文细黑" w:hAnsi="华文细黑" w:eastAsia="华文细黑"/>
        <w:b w:val="0"/>
        <w:color w:val="000000"/>
        <w:sz w:val="22"/>
        <w:szCs w:val="22"/>
      </w:rPr>
    </w:lvl>
    <w:lvl w:ilvl="2" w:tentative="0">
      <w:start w:val="1"/>
      <w:numFmt w:val="decimal"/>
      <w:pStyle w:val="19"/>
      <w:isLgl/>
      <w:lvlText w:val="%1.%2.%3"/>
      <w:lvlJc w:val="left"/>
      <w:pPr>
        <w:tabs>
          <w:tab w:val="left" w:pos="1969"/>
        </w:tabs>
        <w:ind w:left="1969" w:hanging="709"/>
      </w:pPr>
    </w:lvl>
    <w:lvl w:ilvl="3" w:tentative="0">
      <w:start w:val="1"/>
      <w:numFmt w:val="decimal"/>
      <w:pStyle w:val="20"/>
      <w:isLg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53208E"/>
    <w:multiLevelType w:val="multilevel"/>
    <w:tmpl w:val="0053208E"/>
    <w:lvl w:ilvl="0" w:tentative="0">
      <w:start w:val="1"/>
      <w:numFmt w:val="upperLetter"/>
      <w:pStyle w:val="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Letter"/>
      <w:lvlText w:val="（%9）"/>
      <w:lvlJc w:val="left"/>
      <w:pPr>
        <w:tabs>
          <w:tab w:val="left" w:pos="4080"/>
        </w:tabs>
        <w:ind w:left="40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DF"/>
    <w:rsid w:val="00004588"/>
    <w:rsid w:val="00010010"/>
    <w:rsid w:val="000106CB"/>
    <w:rsid w:val="00017025"/>
    <w:rsid w:val="00017BE0"/>
    <w:rsid w:val="00021C29"/>
    <w:rsid w:val="00027EF9"/>
    <w:rsid w:val="000330D5"/>
    <w:rsid w:val="0003575B"/>
    <w:rsid w:val="00041F5A"/>
    <w:rsid w:val="000445AD"/>
    <w:rsid w:val="00045778"/>
    <w:rsid w:val="00052CA2"/>
    <w:rsid w:val="0006012E"/>
    <w:rsid w:val="00067E5E"/>
    <w:rsid w:val="000741ED"/>
    <w:rsid w:val="000851A2"/>
    <w:rsid w:val="00087090"/>
    <w:rsid w:val="0008799E"/>
    <w:rsid w:val="00087D0E"/>
    <w:rsid w:val="00092224"/>
    <w:rsid w:val="000A113B"/>
    <w:rsid w:val="000A5675"/>
    <w:rsid w:val="000A6040"/>
    <w:rsid w:val="000A656E"/>
    <w:rsid w:val="000B20FA"/>
    <w:rsid w:val="000D13C2"/>
    <w:rsid w:val="000D36FD"/>
    <w:rsid w:val="000D572D"/>
    <w:rsid w:val="000E65F7"/>
    <w:rsid w:val="000E7784"/>
    <w:rsid w:val="000F02F3"/>
    <w:rsid w:val="000F3B5F"/>
    <w:rsid w:val="00101B9E"/>
    <w:rsid w:val="0010481E"/>
    <w:rsid w:val="001052AE"/>
    <w:rsid w:val="00110892"/>
    <w:rsid w:val="00117211"/>
    <w:rsid w:val="00122907"/>
    <w:rsid w:val="00122B80"/>
    <w:rsid w:val="00136505"/>
    <w:rsid w:val="00137122"/>
    <w:rsid w:val="00143CF3"/>
    <w:rsid w:val="00145BE2"/>
    <w:rsid w:val="00151DF7"/>
    <w:rsid w:val="00155372"/>
    <w:rsid w:val="00161D95"/>
    <w:rsid w:val="00164193"/>
    <w:rsid w:val="00167944"/>
    <w:rsid w:val="00167D6F"/>
    <w:rsid w:val="00170B06"/>
    <w:rsid w:val="00172A27"/>
    <w:rsid w:val="00176A57"/>
    <w:rsid w:val="001828CA"/>
    <w:rsid w:val="00184F82"/>
    <w:rsid w:val="001A1031"/>
    <w:rsid w:val="001A1BA6"/>
    <w:rsid w:val="001A2E03"/>
    <w:rsid w:val="001A355B"/>
    <w:rsid w:val="001A54FD"/>
    <w:rsid w:val="001B322B"/>
    <w:rsid w:val="001B3662"/>
    <w:rsid w:val="001D0591"/>
    <w:rsid w:val="001D2A93"/>
    <w:rsid w:val="001E390B"/>
    <w:rsid w:val="001E3D22"/>
    <w:rsid w:val="00203994"/>
    <w:rsid w:val="00207D93"/>
    <w:rsid w:val="00216681"/>
    <w:rsid w:val="00221CF8"/>
    <w:rsid w:val="00225B7C"/>
    <w:rsid w:val="002269FA"/>
    <w:rsid w:val="0023049A"/>
    <w:rsid w:val="002317A6"/>
    <w:rsid w:val="0023480D"/>
    <w:rsid w:val="0023490B"/>
    <w:rsid w:val="00242099"/>
    <w:rsid w:val="002528B9"/>
    <w:rsid w:val="00254234"/>
    <w:rsid w:val="00261FC1"/>
    <w:rsid w:val="00262D0B"/>
    <w:rsid w:val="00263696"/>
    <w:rsid w:val="002671DC"/>
    <w:rsid w:val="00271902"/>
    <w:rsid w:val="00273C0D"/>
    <w:rsid w:val="00274CC5"/>
    <w:rsid w:val="00274FF2"/>
    <w:rsid w:val="00275C84"/>
    <w:rsid w:val="002763F1"/>
    <w:rsid w:val="00277AEA"/>
    <w:rsid w:val="00285843"/>
    <w:rsid w:val="00286B98"/>
    <w:rsid w:val="00294CDF"/>
    <w:rsid w:val="002A09EC"/>
    <w:rsid w:val="002A1516"/>
    <w:rsid w:val="002A3774"/>
    <w:rsid w:val="002A6CFD"/>
    <w:rsid w:val="002B0E7E"/>
    <w:rsid w:val="002C3560"/>
    <w:rsid w:val="002C40C0"/>
    <w:rsid w:val="002D1C5F"/>
    <w:rsid w:val="002E6D00"/>
    <w:rsid w:val="002F5B52"/>
    <w:rsid w:val="00315A47"/>
    <w:rsid w:val="00325AB8"/>
    <w:rsid w:val="00332372"/>
    <w:rsid w:val="003330EE"/>
    <w:rsid w:val="003409D1"/>
    <w:rsid w:val="003429C2"/>
    <w:rsid w:val="00343DB7"/>
    <w:rsid w:val="003450AF"/>
    <w:rsid w:val="00350D93"/>
    <w:rsid w:val="00355C0E"/>
    <w:rsid w:val="00364006"/>
    <w:rsid w:val="00371314"/>
    <w:rsid w:val="003750A5"/>
    <w:rsid w:val="003758BA"/>
    <w:rsid w:val="00377C9C"/>
    <w:rsid w:val="003861C0"/>
    <w:rsid w:val="00397FF0"/>
    <w:rsid w:val="003A4041"/>
    <w:rsid w:val="003B4B6D"/>
    <w:rsid w:val="003C2AB7"/>
    <w:rsid w:val="003C7FC3"/>
    <w:rsid w:val="003D0F55"/>
    <w:rsid w:val="003E174F"/>
    <w:rsid w:val="003E1814"/>
    <w:rsid w:val="003E3B9C"/>
    <w:rsid w:val="004054B0"/>
    <w:rsid w:val="004077E0"/>
    <w:rsid w:val="0043778D"/>
    <w:rsid w:val="00463492"/>
    <w:rsid w:val="004667B4"/>
    <w:rsid w:val="00473FEC"/>
    <w:rsid w:val="004806F7"/>
    <w:rsid w:val="00481CE7"/>
    <w:rsid w:val="0048409A"/>
    <w:rsid w:val="00485575"/>
    <w:rsid w:val="00487977"/>
    <w:rsid w:val="00494C15"/>
    <w:rsid w:val="00494C30"/>
    <w:rsid w:val="004967E1"/>
    <w:rsid w:val="004A1BC9"/>
    <w:rsid w:val="004B6B88"/>
    <w:rsid w:val="004B7D21"/>
    <w:rsid w:val="004C1A75"/>
    <w:rsid w:val="004C1E09"/>
    <w:rsid w:val="004C23D2"/>
    <w:rsid w:val="004C36FC"/>
    <w:rsid w:val="004C3BC4"/>
    <w:rsid w:val="004C53C6"/>
    <w:rsid w:val="004D6E86"/>
    <w:rsid w:val="004E70A3"/>
    <w:rsid w:val="004F292A"/>
    <w:rsid w:val="004F5A08"/>
    <w:rsid w:val="00522046"/>
    <w:rsid w:val="00522FE2"/>
    <w:rsid w:val="00535DC3"/>
    <w:rsid w:val="00541766"/>
    <w:rsid w:val="00542914"/>
    <w:rsid w:val="00542F85"/>
    <w:rsid w:val="00543A18"/>
    <w:rsid w:val="0054737C"/>
    <w:rsid w:val="00556B0C"/>
    <w:rsid w:val="00557F9C"/>
    <w:rsid w:val="005640EE"/>
    <w:rsid w:val="00570C58"/>
    <w:rsid w:val="0057587E"/>
    <w:rsid w:val="00582CCB"/>
    <w:rsid w:val="005838FF"/>
    <w:rsid w:val="005840A6"/>
    <w:rsid w:val="00587147"/>
    <w:rsid w:val="00590E90"/>
    <w:rsid w:val="005945AB"/>
    <w:rsid w:val="00595753"/>
    <w:rsid w:val="005978C0"/>
    <w:rsid w:val="005A5EEA"/>
    <w:rsid w:val="005A68AC"/>
    <w:rsid w:val="005B5F2E"/>
    <w:rsid w:val="005B6157"/>
    <w:rsid w:val="005C113B"/>
    <w:rsid w:val="005C57F0"/>
    <w:rsid w:val="005C62DD"/>
    <w:rsid w:val="005D1685"/>
    <w:rsid w:val="005D2EBF"/>
    <w:rsid w:val="005D2FAA"/>
    <w:rsid w:val="005D64F7"/>
    <w:rsid w:val="005D79EC"/>
    <w:rsid w:val="005E256F"/>
    <w:rsid w:val="005E3E06"/>
    <w:rsid w:val="005E4C79"/>
    <w:rsid w:val="005F20FE"/>
    <w:rsid w:val="005F2482"/>
    <w:rsid w:val="005F4EBC"/>
    <w:rsid w:val="005F74AF"/>
    <w:rsid w:val="005F7948"/>
    <w:rsid w:val="0060389E"/>
    <w:rsid w:val="00605BE9"/>
    <w:rsid w:val="006173F4"/>
    <w:rsid w:val="00623547"/>
    <w:rsid w:val="00634CBC"/>
    <w:rsid w:val="006420FC"/>
    <w:rsid w:val="00647792"/>
    <w:rsid w:val="00650089"/>
    <w:rsid w:val="006529D3"/>
    <w:rsid w:val="00656430"/>
    <w:rsid w:val="006812AD"/>
    <w:rsid w:val="0068367E"/>
    <w:rsid w:val="0069345C"/>
    <w:rsid w:val="006A02C9"/>
    <w:rsid w:val="006A305A"/>
    <w:rsid w:val="006A3394"/>
    <w:rsid w:val="006B6D50"/>
    <w:rsid w:val="006C0255"/>
    <w:rsid w:val="006C27E3"/>
    <w:rsid w:val="006D727F"/>
    <w:rsid w:val="006E19ED"/>
    <w:rsid w:val="007002D7"/>
    <w:rsid w:val="00707DF5"/>
    <w:rsid w:val="00710E99"/>
    <w:rsid w:val="00714B2D"/>
    <w:rsid w:val="00715129"/>
    <w:rsid w:val="00725BAC"/>
    <w:rsid w:val="00731994"/>
    <w:rsid w:val="00733BB4"/>
    <w:rsid w:val="0073649A"/>
    <w:rsid w:val="007414F5"/>
    <w:rsid w:val="00743470"/>
    <w:rsid w:val="00766F6C"/>
    <w:rsid w:val="00770D87"/>
    <w:rsid w:val="00776C81"/>
    <w:rsid w:val="007803D7"/>
    <w:rsid w:val="00782B26"/>
    <w:rsid w:val="0078726B"/>
    <w:rsid w:val="00787BF8"/>
    <w:rsid w:val="00795881"/>
    <w:rsid w:val="0079791A"/>
    <w:rsid w:val="007A5B43"/>
    <w:rsid w:val="007C385D"/>
    <w:rsid w:val="007C57CB"/>
    <w:rsid w:val="007D2DE8"/>
    <w:rsid w:val="007D655F"/>
    <w:rsid w:val="007E5F22"/>
    <w:rsid w:val="007F1A03"/>
    <w:rsid w:val="007F1F99"/>
    <w:rsid w:val="007F63E0"/>
    <w:rsid w:val="0080250E"/>
    <w:rsid w:val="00807811"/>
    <w:rsid w:val="008115DC"/>
    <w:rsid w:val="008138E8"/>
    <w:rsid w:val="008226D9"/>
    <w:rsid w:val="00826120"/>
    <w:rsid w:val="0083032E"/>
    <w:rsid w:val="00837B7C"/>
    <w:rsid w:val="00860E4F"/>
    <w:rsid w:val="00863CC0"/>
    <w:rsid w:val="00870735"/>
    <w:rsid w:val="008726DF"/>
    <w:rsid w:val="0088772B"/>
    <w:rsid w:val="00890FDB"/>
    <w:rsid w:val="008A0116"/>
    <w:rsid w:val="008A7BF7"/>
    <w:rsid w:val="008B42C5"/>
    <w:rsid w:val="008B44FE"/>
    <w:rsid w:val="008B6E6D"/>
    <w:rsid w:val="008C4541"/>
    <w:rsid w:val="008D34A4"/>
    <w:rsid w:val="008E00CA"/>
    <w:rsid w:val="008E1AB6"/>
    <w:rsid w:val="008E250C"/>
    <w:rsid w:val="008E2DC1"/>
    <w:rsid w:val="008E4BD7"/>
    <w:rsid w:val="008F04A8"/>
    <w:rsid w:val="008F5F99"/>
    <w:rsid w:val="00902752"/>
    <w:rsid w:val="00903A43"/>
    <w:rsid w:val="00904D8E"/>
    <w:rsid w:val="009056E2"/>
    <w:rsid w:val="0090670E"/>
    <w:rsid w:val="009152DD"/>
    <w:rsid w:val="00916050"/>
    <w:rsid w:val="00916912"/>
    <w:rsid w:val="009208C9"/>
    <w:rsid w:val="00920A58"/>
    <w:rsid w:val="00920FE4"/>
    <w:rsid w:val="00925D12"/>
    <w:rsid w:val="00926EAA"/>
    <w:rsid w:val="00941E23"/>
    <w:rsid w:val="00953F1A"/>
    <w:rsid w:val="009562E0"/>
    <w:rsid w:val="0096296B"/>
    <w:rsid w:val="009713F2"/>
    <w:rsid w:val="0097418D"/>
    <w:rsid w:val="00987512"/>
    <w:rsid w:val="00987AFE"/>
    <w:rsid w:val="00996147"/>
    <w:rsid w:val="009B2149"/>
    <w:rsid w:val="009C3CA9"/>
    <w:rsid w:val="009C62DC"/>
    <w:rsid w:val="009D35A3"/>
    <w:rsid w:val="009D5B05"/>
    <w:rsid w:val="009E3D09"/>
    <w:rsid w:val="009E3D2D"/>
    <w:rsid w:val="009E5273"/>
    <w:rsid w:val="009E691F"/>
    <w:rsid w:val="009F1E3B"/>
    <w:rsid w:val="009F2758"/>
    <w:rsid w:val="00A01822"/>
    <w:rsid w:val="00A03022"/>
    <w:rsid w:val="00A10E8C"/>
    <w:rsid w:val="00A14B70"/>
    <w:rsid w:val="00A15A33"/>
    <w:rsid w:val="00A22C3F"/>
    <w:rsid w:val="00A24C35"/>
    <w:rsid w:val="00A24E5A"/>
    <w:rsid w:val="00A379D4"/>
    <w:rsid w:val="00A51963"/>
    <w:rsid w:val="00A51CB8"/>
    <w:rsid w:val="00A5632C"/>
    <w:rsid w:val="00A60839"/>
    <w:rsid w:val="00A64C0F"/>
    <w:rsid w:val="00A66A95"/>
    <w:rsid w:val="00A80420"/>
    <w:rsid w:val="00A825FE"/>
    <w:rsid w:val="00A85780"/>
    <w:rsid w:val="00A876FC"/>
    <w:rsid w:val="00AA075F"/>
    <w:rsid w:val="00AA108B"/>
    <w:rsid w:val="00AA11B1"/>
    <w:rsid w:val="00AA24F3"/>
    <w:rsid w:val="00AA7F21"/>
    <w:rsid w:val="00AB79C4"/>
    <w:rsid w:val="00AC43A7"/>
    <w:rsid w:val="00AD012F"/>
    <w:rsid w:val="00AD7F51"/>
    <w:rsid w:val="00AE730F"/>
    <w:rsid w:val="00AF4A56"/>
    <w:rsid w:val="00AF5F5E"/>
    <w:rsid w:val="00B21961"/>
    <w:rsid w:val="00B21D16"/>
    <w:rsid w:val="00B24564"/>
    <w:rsid w:val="00B250E0"/>
    <w:rsid w:val="00B31B33"/>
    <w:rsid w:val="00B32E6D"/>
    <w:rsid w:val="00B3518C"/>
    <w:rsid w:val="00B4013C"/>
    <w:rsid w:val="00B417AD"/>
    <w:rsid w:val="00B45FD7"/>
    <w:rsid w:val="00B520CA"/>
    <w:rsid w:val="00B54FE0"/>
    <w:rsid w:val="00B56F2E"/>
    <w:rsid w:val="00B638DD"/>
    <w:rsid w:val="00B73E26"/>
    <w:rsid w:val="00B749CF"/>
    <w:rsid w:val="00B8256D"/>
    <w:rsid w:val="00B96926"/>
    <w:rsid w:val="00BA0F4B"/>
    <w:rsid w:val="00BA20F2"/>
    <w:rsid w:val="00BB0FF3"/>
    <w:rsid w:val="00BB3D28"/>
    <w:rsid w:val="00BC3072"/>
    <w:rsid w:val="00BD14D5"/>
    <w:rsid w:val="00BD2C9A"/>
    <w:rsid w:val="00BD7EA2"/>
    <w:rsid w:val="00BF1364"/>
    <w:rsid w:val="00BF3233"/>
    <w:rsid w:val="00BF50FA"/>
    <w:rsid w:val="00C014BD"/>
    <w:rsid w:val="00C01E21"/>
    <w:rsid w:val="00C04C1C"/>
    <w:rsid w:val="00C05CF8"/>
    <w:rsid w:val="00C06A60"/>
    <w:rsid w:val="00C06FE2"/>
    <w:rsid w:val="00C13F8F"/>
    <w:rsid w:val="00C21E0E"/>
    <w:rsid w:val="00C320FF"/>
    <w:rsid w:val="00C323C4"/>
    <w:rsid w:val="00C459C0"/>
    <w:rsid w:val="00C47829"/>
    <w:rsid w:val="00C55D8D"/>
    <w:rsid w:val="00C624F1"/>
    <w:rsid w:val="00C6439A"/>
    <w:rsid w:val="00C81371"/>
    <w:rsid w:val="00C83982"/>
    <w:rsid w:val="00C85B89"/>
    <w:rsid w:val="00C87465"/>
    <w:rsid w:val="00CA4637"/>
    <w:rsid w:val="00CA4B9C"/>
    <w:rsid w:val="00CA598F"/>
    <w:rsid w:val="00CC0696"/>
    <w:rsid w:val="00CC0B45"/>
    <w:rsid w:val="00CC1032"/>
    <w:rsid w:val="00CC2748"/>
    <w:rsid w:val="00CC718C"/>
    <w:rsid w:val="00CD16A8"/>
    <w:rsid w:val="00CD4241"/>
    <w:rsid w:val="00CD5749"/>
    <w:rsid w:val="00CE2CD6"/>
    <w:rsid w:val="00CE3420"/>
    <w:rsid w:val="00CF416F"/>
    <w:rsid w:val="00CF5917"/>
    <w:rsid w:val="00CF6D25"/>
    <w:rsid w:val="00D061BC"/>
    <w:rsid w:val="00D06A11"/>
    <w:rsid w:val="00D208E2"/>
    <w:rsid w:val="00D26C41"/>
    <w:rsid w:val="00D34A06"/>
    <w:rsid w:val="00D373E4"/>
    <w:rsid w:val="00D37DE2"/>
    <w:rsid w:val="00D40243"/>
    <w:rsid w:val="00D51BE0"/>
    <w:rsid w:val="00D56666"/>
    <w:rsid w:val="00D56834"/>
    <w:rsid w:val="00D56A2A"/>
    <w:rsid w:val="00D603C2"/>
    <w:rsid w:val="00D63081"/>
    <w:rsid w:val="00D63118"/>
    <w:rsid w:val="00D761CA"/>
    <w:rsid w:val="00D866BB"/>
    <w:rsid w:val="00D94F3E"/>
    <w:rsid w:val="00DA2606"/>
    <w:rsid w:val="00DA30A2"/>
    <w:rsid w:val="00DA7851"/>
    <w:rsid w:val="00DB15B6"/>
    <w:rsid w:val="00DB6D16"/>
    <w:rsid w:val="00DC2982"/>
    <w:rsid w:val="00DC420C"/>
    <w:rsid w:val="00DD3AB7"/>
    <w:rsid w:val="00DE0135"/>
    <w:rsid w:val="00DE4942"/>
    <w:rsid w:val="00DE4EA6"/>
    <w:rsid w:val="00DE6C6A"/>
    <w:rsid w:val="00DF2895"/>
    <w:rsid w:val="00E011B0"/>
    <w:rsid w:val="00E01D93"/>
    <w:rsid w:val="00E069C8"/>
    <w:rsid w:val="00E17425"/>
    <w:rsid w:val="00E304E9"/>
    <w:rsid w:val="00E30BBE"/>
    <w:rsid w:val="00E30E22"/>
    <w:rsid w:val="00E41128"/>
    <w:rsid w:val="00E47DFA"/>
    <w:rsid w:val="00E51D01"/>
    <w:rsid w:val="00E53919"/>
    <w:rsid w:val="00E64C1D"/>
    <w:rsid w:val="00E65F62"/>
    <w:rsid w:val="00E66777"/>
    <w:rsid w:val="00E743A5"/>
    <w:rsid w:val="00E84FB8"/>
    <w:rsid w:val="00E97908"/>
    <w:rsid w:val="00EB1096"/>
    <w:rsid w:val="00EC0E93"/>
    <w:rsid w:val="00EC2D1E"/>
    <w:rsid w:val="00EC36F9"/>
    <w:rsid w:val="00EC6AE9"/>
    <w:rsid w:val="00EC7D2F"/>
    <w:rsid w:val="00ED1319"/>
    <w:rsid w:val="00ED42DD"/>
    <w:rsid w:val="00ED6A32"/>
    <w:rsid w:val="00EE360E"/>
    <w:rsid w:val="00EF3650"/>
    <w:rsid w:val="00F008A6"/>
    <w:rsid w:val="00F01186"/>
    <w:rsid w:val="00F02BD0"/>
    <w:rsid w:val="00F1229F"/>
    <w:rsid w:val="00F1794C"/>
    <w:rsid w:val="00F22307"/>
    <w:rsid w:val="00F2358A"/>
    <w:rsid w:val="00F2462E"/>
    <w:rsid w:val="00F2476D"/>
    <w:rsid w:val="00F25B2B"/>
    <w:rsid w:val="00F25F77"/>
    <w:rsid w:val="00F26A36"/>
    <w:rsid w:val="00F32580"/>
    <w:rsid w:val="00F43085"/>
    <w:rsid w:val="00F4389E"/>
    <w:rsid w:val="00F43908"/>
    <w:rsid w:val="00F476CB"/>
    <w:rsid w:val="00F54B69"/>
    <w:rsid w:val="00F56473"/>
    <w:rsid w:val="00F64FA4"/>
    <w:rsid w:val="00F84CA7"/>
    <w:rsid w:val="00F85DEA"/>
    <w:rsid w:val="00F9757E"/>
    <w:rsid w:val="00FA2F22"/>
    <w:rsid w:val="00FB2C76"/>
    <w:rsid w:val="00FB5493"/>
    <w:rsid w:val="00FB61E3"/>
    <w:rsid w:val="00FC3579"/>
    <w:rsid w:val="00FC37F0"/>
    <w:rsid w:val="00FC4B95"/>
    <w:rsid w:val="00FC764C"/>
    <w:rsid w:val="00FD1229"/>
    <w:rsid w:val="00FD3790"/>
    <w:rsid w:val="00FD6D8C"/>
    <w:rsid w:val="00FE1BB4"/>
    <w:rsid w:val="00FF657B"/>
    <w:rsid w:val="00FF7D77"/>
    <w:rsid w:val="01456804"/>
    <w:rsid w:val="032219DA"/>
    <w:rsid w:val="041736F8"/>
    <w:rsid w:val="05764D8B"/>
    <w:rsid w:val="058D30FF"/>
    <w:rsid w:val="05F74B65"/>
    <w:rsid w:val="065D6B52"/>
    <w:rsid w:val="06E42EB2"/>
    <w:rsid w:val="07324868"/>
    <w:rsid w:val="07554F5D"/>
    <w:rsid w:val="0768024C"/>
    <w:rsid w:val="08A90513"/>
    <w:rsid w:val="0924794D"/>
    <w:rsid w:val="098C30A7"/>
    <w:rsid w:val="09CC250D"/>
    <w:rsid w:val="0A216FA6"/>
    <w:rsid w:val="0B232118"/>
    <w:rsid w:val="0B596BEE"/>
    <w:rsid w:val="0C937AC4"/>
    <w:rsid w:val="0CF3453C"/>
    <w:rsid w:val="0DF625DB"/>
    <w:rsid w:val="0EA6712F"/>
    <w:rsid w:val="0FB174AF"/>
    <w:rsid w:val="0FD625E0"/>
    <w:rsid w:val="10264E22"/>
    <w:rsid w:val="10B969A4"/>
    <w:rsid w:val="10D45C33"/>
    <w:rsid w:val="13094EA9"/>
    <w:rsid w:val="152631A5"/>
    <w:rsid w:val="17C97A1E"/>
    <w:rsid w:val="17E34274"/>
    <w:rsid w:val="18302C7C"/>
    <w:rsid w:val="184B7833"/>
    <w:rsid w:val="184E1321"/>
    <w:rsid w:val="187B0475"/>
    <w:rsid w:val="18E23B5A"/>
    <w:rsid w:val="1AB9254B"/>
    <w:rsid w:val="1AFB33FF"/>
    <w:rsid w:val="1B0B4838"/>
    <w:rsid w:val="1E4B69B6"/>
    <w:rsid w:val="1EF25E21"/>
    <w:rsid w:val="1FD66B8E"/>
    <w:rsid w:val="200E7DCB"/>
    <w:rsid w:val="20E16A31"/>
    <w:rsid w:val="225108B6"/>
    <w:rsid w:val="226E78E8"/>
    <w:rsid w:val="22F9131A"/>
    <w:rsid w:val="23F51F75"/>
    <w:rsid w:val="247922AB"/>
    <w:rsid w:val="24BD133F"/>
    <w:rsid w:val="2507195A"/>
    <w:rsid w:val="25074D53"/>
    <w:rsid w:val="25EA3A37"/>
    <w:rsid w:val="265626C3"/>
    <w:rsid w:val="26763B98"/>
    <w:rsid w:val="28167C05"/>
    <w:rsid w:val="285252EB"/>
    <w:rsid w:val="2856589B"/>
    <w:rsid w:val="287B3DDA"/>
    <w:rsid w:val="28AF075C"/>
    <w:rsid w:val="29EC1914"/>
    <w:rsid w:val="2ABE6858"/>
    <w:rsid w:val="2ADD44A1"/>
    <w:rsid w:val="2BB0602A"/>
    <w:rsid w:val="2D272D32"/>
    <w:rsid w:val="2D276006"/>
    <w:rsid w:val="2D625795"/>
    <w:rsid w:val="2DF556E6"/>
    <w:rsid w:val="2EF0258B"/>
    <w:rsid w:val="2F937767"/>
    <w:rsid w:val="2FF46A9E"/>
    <w:rsid w:val="30B036F1"/>
    <w:rsid w:val="330F3C36"/>
    <w:rsid w:val="359E15E2"/>
    <w:rsid w:val="3663231F"/>
    <w:rsid w:val="366D4F01"/>
    <w:rsid w:val="36E75D76"/>
    <w:rsid w:val="38C74D76"/>
    <w:rsid w:val="3A843BCB"/>
    <w:rsid w:val="3AD567EB"/>
    <w:rsid w:val="3B4723C3"/>
    <w:rsid w:val="3B9551F8"/>
    <w:rsid w:val="3C024DA0"/>
    <w:rsid w:val="3CD81619"/>
    <w:rsid w:val="3D1D5DFA"/>
    <w:rsid w:val="3D7071E3"/>
    <w:rsid w:val="3D7F369F"/>
    <w:rsid w:val="3DBB70AA"/>
    <w:rsid w:val="3DFA0EBD"/>
    <w:rsid w:val="3E323286"/>
    <w:rsid w:val="3E911633"/>
    <w:rsid w:val="409944E4"/>
    <w:rsid w:val="40A557D8"/>
    <w:rsid w:val="430A6E5E"/>
    <w:rsid w:val="44244137"/>
    <w:rsid w:val="44275AFE"/>
    <w:rsid w:val="45711242"/>
    <w:rsid w:val="45A12C45"/>
    <w:rsid w:val="46DD3121"/>
    <w:rsid w:val="47086BC4"/>
    <w:rsid w:val="47893A2F"/>
    <w:rsid w:val="49236EBD"/>
    <w:rsid w:val="4A0610AE"/>
    <w:rsid w:val="4B87513B"/>
    <w:rsid w:val="4BFF732B"/>
    <w:rsid w:val="4D627BB7"/>
    <w:rsid w:val="4DB63494"/>
    <w:rsid w:val="4DD47CE0"/>
    <w:rsid w:val="4E2F6BF3"/>
    <w:rsid w:val="4EDF0EC5"/>
    <w:rsid w:val="4F976567"/>
    <w:rsid w:val="51B2633D"/>
    <w:rsid w:val="51CA20BB"/>
    <w:rsid w:val="529C7064"/>
    <w:rsid w:val="53AF65CE"/>
    <w:rsid w:val="55C03D33"/>
    <w:rsid w:val="58DD5EFD"/>
    <w:rsid w:val="59922A02"/>
    <w:rsid w:val="5A395D18"/>
    <w:rsid w:val="5B0E19B0"/>
    <w:rsid w:val="5C87779D"/>
    <w:rsid w:val="5C9272D5"/>
    <w:rsid w:val="5DE31A8A"/>
    <w:rsid w:val="5EE47B70"/>
    <w:rsid w:val="5F6547F1"/>
    <w:rsid w:val="5F693C29"/>
    <w:rsid w:val="62AD6E4A"/>
    <w:rsid w:val="63766BE7"/>
    <w:rsid w:val="63893783"/>
    <w:rsid w:val="64AB7C4B"/>
    <w:rsid w:val="65290FCA"/>
    <w:rsid w:val="652F4D82"/>
    <w:rsid w:val="662D1681"/>
    <w:rsid w:val="677F24F2"/>
    <w:rsid w:val="67CB3027"/>
    <w:rsid w:val="67CD21C7"/>
    <w:rsid w:val="68086CDB"/>
    <w:rsid w:val="6960019F"/>
    <w:rsid w:val="69F763DB"/>
    <w:rsid w:val="6A1B1217"/>
    <w:rsid w:val="6A4E1AAA"/>
    <w:rsid w:val="6BEA5B87"/>
    <w:rsid w:val="6CCA7618"/>
    <w:rsid w:val="6D105407"/>
    <w:rsid w:val="6F171B2E"/>
    <w:rsid w:val="7038463C"/>
    <w:rsid w:val="704740CE"/>
    <w:rsid w:val="70695A53"/>
    <w:rsid w:val="707347C0"/>
    <w:rsid w:val="71660F4F"/>
    <w:rsid w:val="724B7E97"/>
    <w:rsid w:val="73C42536"/>
    <w:rsid w:val="74130586"/>
    <w:rsid w:val="741F22F6"/>
    <w:rsid w:val="746E4C1D"/>
    <w:rsid w:val="75E91765"/>
    <w:rsid w:val="7A4D04ED"/>
    <w:rsid w:val="7ACF0AF2"/>
    <w:rsid w:val="7B047D56"/>
    <w:rsid w:val="7C6A6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numPr>
        <w:ilvl w:val="0"/>
        <w:numId w:val="1"/>
      </w:numPr>
      <w:spacing w:line="380" w:lineRule="atLeast"/>
      <w:ind w:firstLine="540"/>
      <w:outlineLvl w:val="0"/>
    </w:pPr>
    <w:rPr>
      <w:rFonts w:eastAsia="楷体_GB2312"/>
      <w:b/>
      <w:bCs/>
      <w:color w:val="000000"/>
      <w:sz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unhideWhenUsed/>
    <w:qFormat/>
    <w:uiPriority w:val="99"/>
    <w:pPr>
      <w:jc w:val="left"/>
    </w:pPr>
  </w:style>
  <w:style w:type="paragraph" w:styleId="4">
    <w:name w:val="Body Text Indent"/>
    <w:basedOn w:val="1"/>
    <w:qFormat/>
    <w:uiPriority w:val="0"/>
    <w:pPr>
      <w:spacing w:line="360" w:lineRule="auto"/>
      <w:ind w:left="360"/>
    </w:pPr>
    <w:rPr>
      <w:rFonts w:ascii="宋体"/>
      <w:sz w:val="24"/>
      <w:szCs w:val="20"/>
    </w:rPr>
  </w:style>
  <w:style w:type="paragraph" w:styleId="5">
    <w:name w:val="Body Text Indent 2"/>
    <w:basedOn w:val="1"/>
    <w:qFormat/>
    <w:uiPriority w:val="0"/>
    <w:pPr>
      <w:spacing w:after="120" w:line="480" w:lineRule="auto"/>
      <w:ind w:left="420" w:leftChars="2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22"/>
    <w:unhideWhenUsed/>
    <w:qFormat/>
    <w:uiPriority w:val="99"/>
    <w:rPr>
      <w:b/>
      <w:bCs/>
    </w:rPr>
  </w:style>
  <w:style w:type="character" w:styleId="12">
    <w:name w:val="page number"/>
    <w:basedOn w:val="11"/>
    <w:qFormat/>
    <w:uiPriority w:val="0"/>
  </w:style>
  <w:style w:type="character" w:styleId="13">
    <w:name w:val="annotation reference"/>
    <w:unhideWhenUsed/>
    <w:qFormat/>
    <w:uiPriority w:val="99"/>
    <w:rPr>
      <w:sz w:val="21"/>
      <w:szCs w:val="21"/>
    </w:rPr>
  </w:style>
  <w:style w:type="paragraph" w:customStyle="1" w:styleId="14">
    <w:name w:val="_Style 18"/>
    <w:semiHidden/>
    <w:qFormat/>
    <w:uiPriority w:val="99"/>
    <w:rPr>
      <w:rFonts w:ascii="Times New Roman" w:hAnsi="Times New Roman" w:eastAsia="宋体" w:cs="Times New Roman"/>
      <w:kern w:val="2"/>
      <w:sz w:val="21"/>
      <w:szCs w:val="24"/>
      <w:lang w:val="en-US" w:eastAsia="zh-CN" w:bidi="ar-SA"/>
    </w:rPr>
  </w:style>
  <w:style w:type="paragraph" w:customStyle="1" w:styleId="15">
    <w:name w:val="NT二级目录"/>
    <w:basedOn w:val="1"/>
    <w:qFormat/>
    <w:uiPriority w:val="0"/>
    <w:pPr>
      <w:widowControl/>
      <w:numPr>
        <w:ilvl w:val="1"/>
        <w:numId w:val="2"/>
      </w:numPr>
      <w:tabs>
        <w:tab w:val="left" w:pos="720"/>
        <w:tab w:val="clear" w:pos="2160"/>
      </w:tabs>
      <w:spacing w:afterLines="20" w:line="480" w:lineRule="exact"/>
      <w:ind w:left="720" w:hanging="720"/>
    </w:pPr>
    <w:rPr>
      <w:rFonts w:ascii="华文细黑" w:hAnsi="华文细黑" w:eastAsia="华文细黑"/>
      <w:sz w:val="22"/>
      <w:szCs w:val="22"/>
    </w:rPr>
  </w:style>
  <w:style w:type="paragraph" w:customStyle="1" w:styleId="16">
    <w:name w:val="Char"/>
    <w:basedOn w:val="1"/>
    <w:qFormat/>
    <w:uiPriority w:val="0"/>
  </w:style>
  <w:style w:type="paragraph" w:customStyle="1" w:styleId="17">
    <w:name w:val="NT一级目录"/>
    <w:basedOn w:val="1"/>
    <w:qFormat/>
    <w:uiPriority w:val="0"/>
    <w:pPr>
      <w:numPr>
        <w:ilvl w:val="0"/>
        <w:numId w:val="2"/>
      </w:numPr>
      <w:tabs>
        <w:tab w:val="left" w:pos="1080"/>
        <w:tab w:val="clear" w:pos="720"/>
      </w:tabs>
      <w:spacing w:beforeLines="100" w:afterLines="50" w:line="480" w:lineRule="exact"/>
      <w:ind w:left="1077" w:hanging="1077"/>
      <w:outlineLvl w:val="0"/>
    </w:pPr>
    <w:rPr>
      <w:rFonts w:ascii="华文细黑" w:hAnsi="华文细黑" w:eastAsia="华文细黑"/>
      <w:b/>
      <w:sz w:val="22"/>
      <w:szCs w:val="22"/>
    </w:rPr>
  </w:style>
  <w:style w:type="paragraph" w:customStyle="1" w:styleId="18">
    <w:name w:val="默认段落字体 Para Char Char Char Char Char Char Char"/>
    <w:basedOn w:val="1"/>
    <w:qFormat/>
    <w:uiPriority w:val="0"/>
    <w:rPr>
      <w:rFonts w:ascii="Tahoma" w:hAnsi="Tahoma"/>
      <w:sz w:val="24"/>
      <w:szCs w:val="20"/>
    </w:rPr>
  </w:style>
  <w:style w:type="paragraph" w:customStyle="1" w:styleId="19">
    <w:name w:val="NT三级目录"/>
    <w:basedOn w:val="1"/>
    <w:link w:val="21"/>
    <w:qFormat/>
    <w:uiPriority w:val="0"/>
    <w:pPr>
      <w:widowControl/>
      <w:numPr>
        <w:ilvl w:val="2"/>
        <w:numId w:val="2"/>
      </w:numPr>
      <w:tabs>
        <w:tab w:val="left" w:pos="720"/>
        <w:tab w:val="clear" w:pos="1969"/>
      </w:tabs>
      <w:spacing w:afterLines="20" w:line="480" w:lineRule="exact"/>
      <w:ind w:left="720" w:hanging="720"/>
    </w:pPr>
    <w:rPr>
      <w:rFonts w:ascii="华文细黑" w:hAnsi="华文细黑" w:eastAsia="华文细黑"/>
      <w:sz w:val="22"/>
      <w:szCs w:val="22"/>
    </w:rPr>
  </w:style>
  <w:style w:type="paragraph" w:customStyle="1" w:styleId="20">
    <w:name w:val="NT四级目录"/>
    <w:basedOn w:val="19"/>
    <w:qFormat/>
    <w:uiPriority w:val="0"/>
    <w:pPr>
      <w:numPr>
        <w:ilvl w:val="3"/>
      </w:numPr>
      <w:tabs>
        <w:tab w:val="left" w:pos="360"/>
        <w:tab w:val="left" w:pos="1800"/>
        <w:tab w:val="left" w:pos="2160"/>
      </w:tabs>
      <w:ind w:left="1800" w:hanging="1080"/>
    </w:pPr>
  </w:style>
  <w:style w:type="character" w:customStyle="1" w:styleId="21">
    <w:name w:val="NT三级目录 Char Char"/>
    <w:link w:val="19"/>
    <w:qFormat/>
    <w:uiPriority w:val="0"/>
    <w:rPr>
      <w:rFonts w:ascii="华文细黑" w:hAnsi="华文细黑" w:eastAsia="华文细黑"/>
      <w:kern w:val="2"/>
      <w:sz w:val="22"/>
      <w:szCs w:val="22"/>
      <w:lang w:val="en-US" w:eastAsia="zh-CN" w:bidi="ar-SA"/>
    </w:rPr>
  </w:style>
  <w:style w:type="character" w:customStyle="1" w:styleId="22">
    <w:name w:val="批注主题 Char"/>
    <w:link w:val="9"/>
    <w:semiHidden/>
    <w:qFormat/>
    <w:uiPriority w:val="99"/>
    <w:rPr>
      <w:b/>
      <w:bCs/>
      <w:kern w:val="2"/>
      <w:sz w:val="21"/>
      <w:szCs w:val="24"/>
    </w:rPr>
  </w:style>
  <w:style w:type="character" w:customStyle="1" w:styleId="23">
    <w:name w:val="标题 1 Char"/>
    <w:link w:val="2"/>
    <w:qFormat/>
    <w:uiPriority w:val="0"/>
    <w:rPr>
      <w:rFonts w:eastAsia="楷体_GB2312"/>
      <w:b/>
      <w:bCs/>
      <w:color w:val="000000"/>
      <w:kern w:val="2"/>
      <w:sz w:val="24"/>
      <w:szCs w:val="24"/>
      <w:lang w:val="en-US" w:eastAsia="zh-CN" w:bidi="ar-SA"/>
    </w:rPr>
  </w:style>
  <w:style w:type="character" w:customStyle="1" w:styleId="24">
    <w:name w:val="批注文字 Char"/>
    <w:link w:val="3"/>
    <w:semiHidden/>
    <w:qFormat/>
    <w:uiPriority w:val="99"/>
    <w:rPr>
      <w:kern w:val="2"/>
      <w:sz w:val="21"/>
      <w:szCs w:val="24"/>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70</Pages>
  <Words>7328</Words>
  <Characters>41772</Characters>
  <Lines>348</Lines>
  <Paragraphs>98</Paragraphs>
  <TotalTime>0</TotalTime>
  <ScaleCrop>false</ScaleCrop>
  <LinksUpToDate>false</LinksUpToDate>
  <CharactersWithSpaces>49002</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2018-10-08T02:24:00Z</dcterms:created>
  <dc:creator>孟新</dc:creator>
  <cp:lastModifiedBy>hongl</cp:lastModifiedBy>
  <cp:lastPrinted>2020-12-15T11:34:46Z</cp:lastPrinted>
  <dcterms:modified xsi:type="dcterms:W3CDTF">2020-12-15T11:35:05Z</dcterms:modified>
  <dc:title>编号：中长资（　　）合字［　　］      号</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