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宋体" w:eastAsia="黑体"/>
          <w:b/>
          <w:color w:val="000000"/>
          <w:sz w:val="32"/>
          <w:szCs w:val="32"/>
        </w:rPr>
      </w:pPr>
      <w:r>
        <w:rPr>
          <w:rFonts w:hint="eastAsia" w:ascii="黑体" w:hAnsi="宋体" w:eastAsia="黑体"/>
          <w:b/>
          <w:color w:val="000000"/>
          <w:sz w:val="32"/>
          <w:szCs w:val="32"/>
        </w:rPr>
        <w:t>拍卖标的瑕疵说明及确认书</w:t>
      </w:r>
    </w:p>
    <w:p>
      <w:pPr>
        <w:spacing w:line="480" w:lineRule="exact"/>
        <w:rPr>
          <w:rFonts w:hint="eastAsia" w:ascii="仿宋_GB2312" w:hAnsi="宋体" w:eastAsia="仿宋_GB2312"/>
          <w:color w:val="000000"/>
          <w:sz w:val="28"/>
          <w:szCs w:val="28"/>
          <w:u w:val="singl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宋体" w:hAnsi="宋体" w:eastAsia="宋体" w:cs="宋体"/>
          <w:b/>
          <w:bCs/>
          <w:i w:val="0"/>
          <w:caps w:val="0"/>
          <w:color w:val="333333"/>
          <w:spacing w:val="0"/>
          <w:kern w:val="0"/>
          <w:sz w:val="24"/>
          <w:szCs w:val="24"/>
          <w:u w:val="single"/>
          <w:shd w:val="clear" w:fill="FFFFFF"/>
          <w:lang w:val="en-US" w:eastAsia="zh-CN" w:bidi="ar"/>
        </w:rPr>
      </w:pPr>
      <w:r>
        <w:rPr>
          <w:rFonts w:hint="eastAsia" w:ascii="仿宋" w:hAnsi="仿宋" w:eastAsia="仿宋"/>
          <w:color w:val="000000"/>
          <w:sz w:val="28"/>
          <w:szCs w:val="28"/>
        </w:rPr>
        <w:t>本次拍卖转让标的为</w:t>
      </w:r>
      <w:r>
        <w:rPr>
          <w:rFonts w:hint="default" w:ascii="仿宋" w:hAnsi="仿宋" w:eastAsia="仿宋" w:cs="Times New Roman"/>
          <w:b/>
          <w:bCs/>
          <w:i w:val="0"/>
          <w:caps w:val="0"/>
          <w:color w:val="000000"/>
          <w:spacing w:val="0"/>
          <w:kern w:val="2"/>
          <w:sz w:val="28"/>
          <w:szCs w:val="28"/>
          <w:u w:val="single"/>
          <w:shd w:val="clear"/>
          <w:lang w:val="en-US" w:eastAsia="zh-CN" w:bidi="ar"/>
        </w:rPr>
        <w:t>中国长城资产管理股份有限公司山东省分公司拥有的山东宝隆生物降解材料股份有限公司债权，截至2020年10月20日，债权金额合计为11,784,954.96元，其中：本金为8,000,000.00元、利息为3,784,95</w:t>
      </w:r>
      <w:bookmarkStart w:id="0" w:name="_GoBack"/>
      <w:bookmarkEnd w:id="0"/>
      <w:r>
        <w:rPr>
          <w:rFonts w:hint="default" w:ascii="仿宋" w:hAnsi="仿宋" w:eastAsia="仿宋" w:cs="Times New Roman"/>
          <w:b/>
          <w:bCs/>
          <w:i w:val="0"/>
          <w:caps w:val="0"/>
          <w:color w:val="000000"/>
          <w:spacing w:val="0"/>
          <w:kern w:val="2"/>
          <w:sz w:val="28"/>
          <w:szCs w:val="28"/>
          <w:u w:val="single"/>
          <w:shd w:val="clear"/>
          <w:lang w:val="en-US" w:eastAsia="zh-CN" w:bidi="ar"/>
        </w:rPr>
        <w:t>4.96元（2020年10月20日之后产生的利息，以及与不良贷款债权相关的从权利亦在本次拍卖范围内），现状拍卖。最终债权金额、担保等情况以委托人与买受人签署的《债权转让协议》和双方移交材料为准，拍卖人提供的相关资料仅供参考。</w:t>
      </w:r>
    </w:p>
    <w:p>
      <w:pPr>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对上述不良资产，我公司在此提示风险如下，请竞买人自行把握竞买风险：</w:t>
      </w:r>
    </w:p>
    <w:p>
      <w:pPr>
        <w:spacing w:line="4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 竞买人已被告知并完全理解，长城公司山东分公司转让给竞买人的贷款债权，存在或可能存在下列瑕疵或风险，且因长城公司山东分公司并非贷款债权的原始权利人，长城公司山东分公司无法对其承继的、由任何第三方制作的贷款债权证明文件的真实性、有效性、准确性和完整性提供保证，以至于竞买人受让贷款债权的预期利益可能无法实现。该等瑕疵或风险包括但不限于下列一项或多项：</w:t>
      </w:r>
    </w:p>
    <w:p>
      <w:pPr>
        <w:snapToGrid/>
        <w:spacing w:line="400" w:lineRule="exact"/>
        <w:ind w:right="0" w:firstLine="560" w:firstLineChars="200"/>
        <w:rPr>
          <w:rFonts w:hint="eastAsia" w:ascii="仿宋" w:hAnsi="仿宋" w:eastAsia="仿宋" w:cs="Times New Roman"/>
          <w:b w:val="0"/>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s="Times New Roman"/>
          <w:b w:val="0"/>
          <w:color w:val="000000"/>
          <w:sz w:val="28"/>
          <w:szCs w:val="28"/>
        </w:rPr>
        <w:t>.1标的债权系不良资产，存在着部分或全部不能回收的风险特性以及清收的困难性</w:t>
      </w:r>
      <w:r>
        <w:rPr>
          <w:rFonts w:hint="eastAsia" w:ascii="仿宋" w:hAnsi="仿宋" w:eastAsia="仿宋" w:cs="Times New Roman"/>
          <w:b w:val="0"/>
          <w:color w:val="000000"/>
          <w:sz w:val="28"/>
          <w:szCs w:val="28"/>
          <w:lang w:eastAsia="zh-CN"/>
        </w:rPr>
        <w:t>。</w:t>
      </w:r>
    </w:p>
    <w:p>
      <w:pPr>
        <w:snapToGrid/>
        <w:spacing w:line="400" w:lineRule="exact"/>
        <w:ind w:right="0"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.2由于可能存在的计算误差或其他原因，</w:t>
      </w:r>
      <w:r>
        <w:rPr>
          <w:rFonts w:hint="eastAsia" w:ascii="仿宋" w:hAnsi="仿宋" w:eastAsia="仿宋" w:cs="Times New Roman"/>
          <w:b w:val="0"/>
          <w:color w:val="000000"/>
          <w:sz w:val="28"/>
          <w:szCs w:val="28"/>
          <w:lang w:eastAsia="zh-CN"/>
        </w:rPr>
        <w:t>竞买人</w:t>
      </w:r>
      <w:r>
        <w:rPr>
          <w:rFonts w:hint="eastAsia" w:ascii="仿宋" w:hAnsi="仿宋" w:eastAsia="仿宋" w:cs="Times New Roman"/>
          <w:b w:val="0"/>
          <w:color w:val="000000"/>
          <w:sz w:val="28"/>
          <w:szCs w:val="28"/>
        </w:rPr>
        <w:t>实际接收的贷款债权金额与附件一《资产明细表》载明的金额可能不完全一致；基于有关司法政策文件，买受人受让贷款债权后向债务人或担保人所能主张并获得司法支持的利息可能与附件一《资产明细表》中所列明的利息不完全一致；标的资产事实上可能已经全部或部分灭失。</w:t>
      </w:r>
    </w:p>
    <w:p>
      <w:pPr>
        <w:snapToGrid/>
        <w:spacing w:line="400" w:lineRule="exact"/>
        <w:ind w:right="0"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.3 标的资产项下债务人、担保人或其他责任主体可能存在破产、被吊销、被撤销、注销、解散、关闭、歇业、停业、下落不明以及其他主体存续性瑕疵的情形</w:t>
      </w:r>
      <w:r>
        <w:rPr>
          <w:rFonts w:hint="eastAsia" w:ascii="仿宋" w:hAnsi="仿宋" w:eastAsia="仿宋" w:cs="Times New Roman"/>
          <w:b w:val="0"/>
          <w:color w:val="000000"/>
          <w:sz w:val="28"/>
          <w:szCs w:val="28"/>
          <w:lang w:eastAsia="zh-CN"/>
        </w:rPr>
        <w:t>。</w:t>
      </w:r>
    </w:p>
    <w:p>
      <w:pPr>
        <w:snapToGrid/>
        <w:spacing w:line="400" w:lineRule="exact"/>
        <w:ind w:right="0" w:rightChars="0"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.4 标的资产可能已超过诉讼时效、法定或约定时效或丧失其他相关的期间利益</w:t>
      </w:r>
      <w:r>
        <w:rPr>
          <w:rFonts w:hint="eastAsia" w:ascii="仿宋" w:hAnsi="仿宋" w:eastAsia="仿宋" w:cs="Times New Roman"/>
          <w:b w:val="0"/>
          <w:color w:val="000000"/>
          <w:sz w:val="28"/>
          <w:szCs w:val="28"/>
          <w:lang w:eastAsia="zh-CN"/>
        </w:rPr>
        <w:t>。</w:t>
      </w:r>
    </w:p>
    <w:p>
      <w:pPr>
        <w:snapToGrid/>
        <w:spacing w:line="400" w:lineRule="exact"/>
        <w:ind w:left="0" w:leftChars="0" w:right="0" w:rightChars="0"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.5 标的资产项下担保权利可能未生效、无效、消灭或已过诉讼时效等情形</w:t>
      </w:r>
      <w:r>
        <w:rPr>
          <w:rFonts w:hint="eastAsia" w:ascii="仿宋" w:hAnsi="仿宋" w:eastAsia="仿宋" w:cs="Times New Roman"/>
          <w:b w:val="0"/>
          <w:color w:val="000000"/>
          <w:sz w:val="28"/>
          <w:szCs w:val="28"/>
          <w:lang w:eastAsia="zh-CN"/>
        </w:rPr>
        <w:t>。</w:t>
      </w:r>
    </w:p>
    <w:p>
      <w:pPr>
        <w:snapToGrid/>
        <w:spacing w:line="400" w:lineRule="exact"/>
        <w:ind w:left="0" w:leftChars="0" w:right="0" w:rightChars="0"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.6 担保物、抵债资产（含协议抵债且未办理过户）可能发生灭失、毁损或可能存在欠缴税费、不能办理权属变更手续、不能实际占有或其他减损担保物、抵债资产价值的相关情形</w:t>
      </w:r>
      <w:r>
        <w:rPr>
          <w:rFonts w:hint="eastAsia" w:ascii="仿宋" w:hAnsi="仿宋" w:eastAsia="仿宋" w:cs="Times New Roman"/>
          <w:b w:val="0"/>
          <w:color w:val="000000"/>
          <w:sz w:val="28"/>
          <w:szCs w:val="28"/>
          <w:lang w:eastAsia="zh-CN"/>
        </w:rPr>
        <w:t>。</w:t>
      </w:r>
      <w:r>
        <w:rPr>
          <w:rFonts w:hint="eastAsia" w:ascii="仿宋" w:hAnsi="仿宋" w:eastAsia="仿宋" w:cs="Times New Roman"/>
          <w:b w:val="0"/>
          <w:color w:val="000000"/>
          <w:sz w:val="28"/>
          <w:szCs w:val="28"/>
        </w:rPr>
        <w:t xml:space="preserve"> </w:t>
      </w:r>
    </w:p>
    <w:p>
      <w:pPr>
        <w:snapToGrid/>
        <w:spacing w:line="400" w:lineRule="exact"/>
        <w:ind w:right="0" w:rightChars="0"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.7涉诉标的资产可能存在全部或部分败诉、不能变更诉讼（含执行）主体、相关诉讼、执行费用未付等情形，涉诉标的资产可能在交割前已诉讼终结、执行终结或破产终结。</w:t>
      </w:r>
    </w:p>
    <w:p>
      <w:pPr>
        <w:snapToGrid/>
        <w:spacing w:line="400" w:lineRule="exact"/>
        <w:ind w:right="0"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.8</w:t>
      </w:r>
      <w:r>
        <w:rPr>
          <w:rFonts w:hint="eastAsia" w:ascii="仿宋" w:hAnsi="仿宋" w:eastAsia="仿宋" w:cs="Times New Roman"/>
          <w:b w:val="0"/>
          <w:color w:val="000000"/>
          <w:sz w:val="28"/>
          <w:szCs w:val="28"/>
          <w:lang w:eastAsia="zh-CN"/>
        </w:rPr>
        <w:t>竞买人</w:t>
      </w:r>
      <w:r>
        <w:rPr>
          <w:rFonts w:hint="eastAsia" w:ascii="仿宋" w:hAnsi="仿宋" w:eastAsia="仿宋" w:cs="Times New Roman"/>
          <w:b w:val="0"/>
          <w:color w:val="000000"/>
          <w:sz w:val="28"/>
          <w:szCs w:val="28"/>
        </w:rPr>
        <w:t>受让标的资产后，可能无法享有</w:t>
      </w:r>
      <w:r>
        <w:rPr>
          <w:rFonts w:hint="eastAsia" w:ascii="仿宋" w:hAnsi="仿宋" w:eastAsia="仿宋" w:cs="Times New Roman"/>
          <w:b w:val="0"/>
          <w:color w:val="000000"/>
          <w:sz w:val="28"/>
          <w:szCs w:val="28"/>
          <w:lang w:eastAsia="zh-CN"/>
        </w:rPr>
        <w:t>长城公司山东分公司</w:t>
      </w:r>
      <w:r>
        <w:rPr>
          <w:rFonts w:hint="eastAsia" w:ascii="仿宋" w:hAnsi="仿宋" w:eastAsia="仿宋" w:cs="Times New Roman"/>
          <w:b w:val="0"/>
          <w:color w:val="000000"/>
          <w:sz w:val="28"/>
          <w:szCs w:val="28"/>
        </w:rPr>
        <w:t>所享有的国家法律政策规定的各项优惠条件和特殊保护，包括但不限于对该标的资产在交割日后的利息或罚息请求权可能无法继续享有。</w:t>
      </w:r>
    </w:p>
    <w:p>
      <w:pPr>
        <w:snapToGrid/>
        <w:spacing w:line="400" w:lineRule="exact"/>
        <w:ind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.9</w:t>
      </w:r>
      <w:r>
        <w:rPr>
          <w:rFonts w:hint="eastAsia" w:ascii="仿宋" w:hAnsi="仿宋" w:eastAsia="仿宋" w:cs="Times New Roman"/>
          <w:b w:val="0"/>
          <w:color w:val="000000"/>
          <w:sz w:val="28"/>
          <w:szCs w:val="28"/>
          <w:lang w:eastAsia="zh-CN"/>
        </w:rPr>
        <w:t>长城公司山东分公司</w:t>
      </w:r>
      <w:r>
        <w:rPr>
          <w:rFonts w:hint="eastAsia" w:ascii="仿宋" w:hAnsi="仿宋" w:eastAsia="仿宋" w:cs="Times New Roman"/>
          <w:b w:val="0"/>
          <w:color w:val="000000"/>
          <w:sz w:val="28"/>
          <w:szCs w:val="28"/>
        </w:rPr>
        <w:t>无法对其承继的、由任何第三方制作的资产证明文件的真实性、有效性、准确性和完整性提供保证。</w:t>
      </w:r>
      <w:r>
        <w:rPr>
          <w:rFonts w:hint="eastAsia" w:ascii="仿宋" w:hAnsi="仿宋" w:eastAsia="仿宋" w:cs="Times New Roman"/>
          <w:b w:val="0"/>
          <w:color w:val="000000"/>
          <w:sz w:val="28"/>
          <w:szCs w:val="28"/>
          <w:lang w:eastAsia="zh-CN"/>
        </w:rPr>
        <w:t>长城公司山东分公司</w:t>
      </w:r>
      <w:r>
        <w:rPr>
          <w:rFonts w:hint="eastAsia" w:ascii="仿宋" w:hAnsi="仿宋" w:eastAsia="仿宋" w:cs="Times New Roman"/>
          <w:b w:val="0"/>
          <w:color w:val="000000"/>
          <w:sz w:val="28"/>
          <w:szCs w:val="28"/>
        </w:rPr>
        <w:t>移交的标的资产证明文件可能存在缺失（不限于原件）、内容冲突等相关情形。</w:t>
      </w:r>
    </w:p>
    <w:p>
      <w:pPr>
        <w:snapToGrid/>
        <w:spacing w:line="400" w:lineRule="exact"/>
        <w:ind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1</w:t>
      </w:r>
      <w:r>
        <w:rPr>
          <w:rFonts w:hint="eastAsia" w:ascii="仿宋" w:hAnsi="仿宋" w:eastAsia="仿宋" w:cs="Times New Roman"/>
          <w:b w:val="0"/>
          <w:color w:val="000000"/>
          <w:sz w:val="28"/>
          <w:szCs w:val="28"/>
        </w:rPr>
        <w:t>.10尽管</w:t>
      </w:r>
      <w:r>
        <w:rPr>
          <w:rFonts w:hint="eastAsia" w:ascii="仿宋" w:hAnsi="仿宋" w:eastAsia="仿宋" w:cs="Times New Roman"/>
          <w:b w:val="0"/>
          <w:color w:val="000000"/>
          <w:sz w:val="28"/>
          <w:szCs w:val="28"/>
          <w:lang w:eastAsia="zh-CN"/>
        </w:rPr>
        <w:t>长城公司山东分公司</w:t>
      </w:r>
      <w:r>
        <w:rPr>
          <w:rFonts w:hint="eastAsia" w:ascii="仿宋" w:hAnsi="仿宋" w:eastAsia="仿宋" w:cs="Times New Roman"/>
          <w:b w:val="0"/>
          <w:color w:val="000000"/>
          <w:sz w:val="28"/>
          <w:szCs w:val="28"/>
        </w:rPr>
        <w:t>已对拟转让债权瑕疵作出上述披露，但该债权仍然存在包括但不限于如下瑕疵，</w:t>
      </w:r>
      <w:r>
        <w:rPr>
          <w:rFonts w:hint="eastAsia" w:ascii="仿宋" w:hAnsi="仿宋" w:eastAsia="仿宋" w:cs="Times New Roman"/>
          <w:b w:val="0"/>
          <w:color w:val="000000"/>
          <w:sz w:val="28"/>
          <w:szCs w:val="28"/>
          <w:lang w:eastAsia="zh-CN"/>
        </w:rPr>
        <w:t>竞买人</w:t>
      </w:r>
      <w:r>
        <w:rPr>
          <w:rFonts w:hint="eastAsia" w:ascii="仿宋" w:hAnsi="仿宋" w:eastAsia="仿宋" w:cs="Times New Roman"/>
          <w:b w:val="0"/>
          <w:color w:val="000000"/>
          <w:sz w:val="28"/>
          <w:szCs w:val="28"/>
        </w:rPr>
        <w:t>受让贷款债权前，已充分了解</w:t>
      </w:r>
      <w:r>
        <w:rPr>
          <w:rFonts w:hint="eastAsia" w:ascii="仿宋" w:hAnsi="仿宋" w:eastAsia="仿宋" w:cs="Times New Roman"/>
          <w:b w:val="0"/>
          <w:color w:val="000000"/>
          <w:sz w:val="28"/>
          <w:szCs w:val="28"/>
          <w:lang w:eastAsia="zh-CN"/>
        </w:rPr>
        <w:t>长城公司山东分公司</w:t>
      </w:r>
      <w:r>
        <w:rPr>
          <w:rFonts w:hint="eastAsia" w:ascii="仿宋" w:hAnsi="仿宋" w:eastAsia="仿宋" w:cs="Times New Roman"/>
          <w:b w:val="0"/>
          <w:color w:val="000000"/>
          <w:sz w:val="28"/>
          <w:szCs w:val="28"/>
        </w:rPr>
        <w:t>告知的下列事实：</w:t>
      </w:r>
    </w:p>
    <w:p>
      <w:pPr>
        <w:snapToGrid/>
        <w:spacing w:line="400" w:lineRule="exact"/>
        <w:ind w:firstLine="560" w:firstLineChars="200"/>
        <w:rPr>
          <w:rFonts w:hint="eastAsia" w:ascii="仿宋" w:hAnsi="仿宋" w:eastAsia="仿宋" w:cs="Times New Roman"/>
          <w:b w:val="0"/>
          <w:color w:val="000000"/>
          <w:sz w:val="28"/>
          <w:szCs w:val="28"/>
        </w:rPr>
      </w:pPr>
      <w:r>
        <w:rPr>
          <w:rFonts w:hint="eastAsia" w:ascii="仿宋" w:hAnsi="仿宋" w:eastAsia="仿宋" w:cs="Times New Roman"/>
          <w:b w:val="0"/>
          <w:color w:val="000000"/>
          <w:sz w:val="28"/>
          <w:szCs w:val="28"/>
          <w:lang w:eastAsia="zh-CN"/>
        </w:rPr>
        <w:t>该笔债权</w:t>
      </w:r>
      <w:r>
        <w:rPr>
          <w:rFonts w:hint="eastAsia" w:ascii="仿宋" w:hAnsi="仿宋" w:eastAsia="仿宋" w:cs="Times New Roman"/>
          <w:b w:val="0"/>
          <w:color w:val="000000"/>
          <w:sz w:val="28"/>
          <w:szCs w:val="28"/>
          <w:lang w:val="en-US" w:eastAsia="zh-CN"/>
        </w:rPr>
        <w:t>由借款人</w:t>
      </w:r>
      <w:r>
        <w:rPr>
          <w:rFonts w:hint="eastAsia" w:ascii="仿宋" w:hAnsi="仿宋" w:eastAsia="仿宋" w:cs="Times New Roman"/>
          <w:b w:val="0"/>
          <w:color w:val="000000"/>
          <w:sz w:val="28"/>
          <w:szCs w:val="28"/>
        </w:rPr>
        <w:t>山东宝隆生物降解材料股份有限公司</w:t>
      </w:r>
      <w:r>
        <w:rPr>
          <w:rFonts w:hint="eastAsia" w:ascii="仿宋" w:hAnsi="仿宋" w:eastAsia="仿宋" w:cs="Times New Roman"/>
          <w:b w:val="0"/>
          <w:color w:val="000000"/>
          <w:sz w:val="28"/>
          <w:szCs w:val="28"/>
          <w:lang w:val="en-US" w:eastAsia="zh-CN"/>
        </w:rPr>
        <w:t>名下房地产</w:t>
      </w:r>
      <w:r>
        <w:rPr>
          <w:rFonts w:hint="eastAsia" w:ascii="仿宋" w:hAnsi="仿宋" w:eastAsia="仿宋" w:cs="Times New Roman"/>
          <w:b w:val="0"/>
          <w:color w:val="000000"/>
          <w:sz w:val="28"/>
          <w:szCs w:val="28"/>
        </w:rPr>
        <w:t>提供最高额</w:t>
      </w:r>
      <w:r>
        <w:rPr>
          <w:rFonts w:hint="eastAsia" w:ascii="仿宋" w:hAnsi="仿宋" w:eastAsia="仿宋" w:cs="Times New Roman"/>
          <w:b w:val="0"/>
          <w:color w:val="000000"/>
          <w:sz w:val="28"/>
          <w:szCs w:val="28"/>
          <w:lang w:val="en-US" w:eastAsia="zh-CN"/>
        </w:rPr>
        <w:t>1200</w:t>
      </w:r>
      <w:r>
        <w:rPr>
          <w:rFonts w:hint="eastAsia" w:ascii="仿宋" w:hAnsi="仿宋" w:eastAsia="仿宋" w:cs="Times New Roman"/>
          <w:b w:val="0"/>
          <w:color w:val="000000"/>
          <w:sz w:val="28"/>
          <w:szCs w:val="28"/>
        </w:rPr>
        <w:t>万元的抵押担保，已办理抵押登记，</w:t>
      </w:r>
      <w:r>
        <w:rPr>
          <w:rFonts w:hint="eastAsia" w:ascii="仿宋" w:hAnsi="仿宋" w:eastAsia="仿宋" w:cs="Times New Roman"/>
          <w:b w:val="0"/>
          <w:color w:val="000000"/>
          <w:sz w:val="28"/>
          <w:szCs w:val="28"/>
          <w:lang w:val="en-US" w:eastAsia="zh-CN"/>
        </w:rPr>
        <w:t>目前</w:t>
      </w:r>
      <w:r>
        <w:rPr>
          <w:rFonts w:hint="eastAsia" w:ascii="仿宋" w:hAnsi="仿宋" w:eastAsia="仿宋" w:cs="Times New Roman"/>
          <w:b w:val="0"/>
          <w:color w:val="000000"/>
          <w:sz w:val="28"/>
          <w:szCs w:val="28"/>
        </w:rPr>
        <w:t>抵押房产使用状况不明</w:t>
      </w:r>
      <w:r>
        <w:rPr>
          <w:rFonts w:hint="eastAsia" w:ascii="仿宋" w:hAnsi="仿宋" w:eastAsia="仿宋" w:cs="Times New Roman"/>
          <w:b w:val="0"/>
          <w:color w:val="000000"/>
          <w:sz w:val="28"/>
          <w:szCs w:val="28"/>
          <w:lang w:eastAsia="zh-CN"/>
        </w:rPr>
        <w:t>，</w:t>
      </w:r>
      <w:r>
        <w:rPr>
          <w:rFonts w:hint="eastAsia" w:ascii="仿宋" w:hAnsi="仿宋" w:eastAsia="仿宋" w:cs="Times New Roman"/>
          <w:b w:val="0"/>
          <w:color w:val="000000"/>
          <w:sz w:val="28"/>
          <w:szCs w:val="28"/>
        </w:rPr>
        <w:t>可能影响抵押拍卖价款优先受偿</w:t>
      </w:r>
      <w:r>
        <w:rPr>
          <w:rFonts w:hint="eastAsia" w:ascii="仿宋" w:hAnsi="仿宋" w:eastAsia="仿宋" w:cs="Times New Roman"/>
          <w:b w:val="0"/>
          <w:color w:val="000000"/>
          <w:sz w:val="28"/>
          <w:szCs w:val="28"/>
          <w:lang w:eastAsia="zh-CN"/>
        </w:rPr>
        <w:t>，</w:t>
      </w:r>
      <w:r>
        <w:rPr>
          <w:rFonts w:hint="eastAsia" w:ascii="仿宋" w:hAnsi="仿宋" w:eastAsia="仿宋" w:cs="Times New Roman"/>
          <w:b w:val="0"/>
          <w:color w:val="000000"/>
          <w:sz w:val="28"/>
          <w:szCs w:val="28"/>
          <w:lang w:val="en-US" w:eastAsia="zh-CN"/>
        </w:rPr>
        <w:t>后续清场可能会存在困难</w:t>
      </w:r>
      <w:r>
        <w:rPr>
          <w:rFonts w:hint="eastAsia" w:ascii="仿宋" w:hAnsi="仿宋" w:eastAsia="仿宋" w:cs="Times New Roman"/>
          <w:b w:val="0"/>
          <w:color w:val="000000"/>
          <w:sz w:val="28"/>
          <w:szCs w:val="28"/>
        </w:rPr>
        <w:t>。</w:t>
      </w:r>
    </w:p>
    <w:p>
      <w:pPr>
        <w:snapToGrid/>
        <w:spacing w:line="420" w:lineRule="exact"/>
        <w:ind w:firstLine="560" w:firstLineChars="200"/>
        <w:rPr>
          <w:rFonts w:hint="eastAsia" w:ascii="仿宋" w:hAnsi="仿宋" w:eastAsia="仿宋"/>
          <w:b w:val="0"/>
          <w:bCs w:val="0"/>
          <w:color w:val="000000"/>
          <w:sz w:val="28"/>
          <w:szCs w:val="28"/>
        </w:rPr>
      </w:pPr>
    </w:p>
    <w:p>
      <w:pPr>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竞买人应承诺受让债权后将不以任何理由向长城公司山东分公司追索任何责任，自愿承担一切风险。长城公司山东分公司对上述瑕疵或风险不发表任何判断性结论，由竞买人自行作出判断，</w:t>
      </w:r>
      <w:r>
        <w:rPr>
          <w:rFonts w:hint="eastAsia" w:ascii="仿宋" w:hAnsi="仿宋" w:eastAsia="仿宋"/>
          <w:color w:val="000000"/>
          <w:sz w:val="28"/>
          <w:szCs w:val="28"/>
          <w:lang w:eastAsia="zh-CN"/>
        </w:rPr>
        <w:t>拍卖人、</w:t>
      </w:r>
      <w:r>
        <w:rPr>
          <w:rFonts w:hint="eastAsia" w:ascii="仿宋" w:hAnsi="仿宋" w:eastAsia="仿宋"/>
          <w:color w:val="000000"/>
          <w:sz w:val="28"/>
          <w:szCs w:val="28"/>
        </w:rPr>
        <w:t>长城公司山东分公司及前手权利人不承担任何责任。</w:t>
      </w: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jc w:val="right"/>
        <w:rPr>
          <w:rFonts w:hint="eastAsia" w:ascii="仿宋" w:hAnsi="仿宋" w:eastAsia="仿宋"/>
          <w:color w:val="000000"/>
          <w:sz w:val="28"/>
          <w:szCs w:val="28"/>
        </w:rPr>
      </w:pPr>
      <w:r>
        <w:rPr>
          <w:rFonts w:hint="eastAsia" w:ascii="仿宋" w:hAnsi="仿宋" w:eastAsia="仿宋"/>
          <w:color w:val="000000"/>
          <w:sz w:val="28"/>
          <w:szCs w:val="28"/>
        </w:rPr>
        <w:t>光彩银星拍卖有限公司</w:t>
      </w:r>
    </w:p>
    <w:p>
      <w:pPr>
        <w:spacing w:line="460" w:lineRule="exact"/>
        <w:ind w:firstLine="560" w:firstLineChars="200"/>
        <w:jc w:val="right"/>
        <w:rPr>
          <w:rFonts w:hint="eastAsia" w:ascii="仿宋" w:hAnsi="仿宋" w:eastAsia="仿宋"/>
          <w:color w:val="000000"/>
          <w:sz w:val="28"/>
          <w:szCs w:val="28"/>
        </w:rPr>
      </w:pPr>
      <w:r>
        <w:rPr>
          <w:rFonts w:hint="eastAsia" w:ascii="仿宋" w:hAnsi="仿宋" w:eastAsia="仿宋"/>
          <w:color w:val="000000"/>
          <w:sz w:val="28"/>
          <w:szCs w:val="28"/>
        </w:rPr>
        <w:t xml:space="preserve">              　　       </w:t>
      </w:r>
      <w:r>
        <w:rPr>
          <w:rFonts w:hint="eastAsia" w:ascii="仿宋" w:hAnsi="仿宋" w:eastAsia="仿宋" w:cs="Times New Roman"/>
          <w:color w:val="000000"/>
          <w:sz w:val="28"/>
          <w:szCs w:val="28"/>
        </w:rPr>
        <w:t>二O二O年</w:t>
      </w:r>
      <w:r>
        <w:rPr>
          <w:rFonts w:hint="eastAsia" w:ascii="仿宋" w:hAnsi="仿宋" w:eastAsia="仿宋" w:cs="Times New Roman"/>
          <w:color w:val="000000"/>
          <w:sz w:val="28"/>
          <w:szCs w:val="28"/>
          <w:lang w:val="en-US" w:eastAsia="zh-CN"/>
        </w:rPr>
        <w:t>十二</w:t>
      </w:r>
      <w:r>
        <w:rPr>
          <w:rFonts w:hint="eastAsia" w:ascii="仿宋" w:hAnsi="仿宋" w:eastAsia="仿宋" w:cs="Times New Roman"/>
          <w:color w:val="000000"/>
          <w:sz w:val="28"/>
          <w:szCs w:val="28"/>
        </w:rPr>
        <w:t>月</w:t>
      </w:r>
      <w:r>
        <w:rPr>
          <w:rFonts w:hint="eastAsia" w:ascii="仿宋" w:hAnsi="仿宋" w:eastAsia="仿宋" w:cs="Times New Roman"/>
          <w:color w:val="000000"/>
          <w:sz w:val="28"/>
          <w:szCs w:val="28"/>
          <w:lang w:val="en-US" w:eastAsia="zh-CN"/>
        </w:rPr>
        <w:t>十六</w:t>
      </w:r>
      <w:r>
        <w:rPr>
          <w:rFonts w:hint="eastAsia" w:ascii="仿宋" w:hAnsi="仿宋" w:eastAsia="仿宋" w:cs="Times New Roman"/>
          <w:color w:val="000000"/>
          <w:sz w:val="28"/>
          <w:szCs w:val="28"/>
        </w:rPr>
        <w:t>日</w:t>
      </w:r>
    </w:p>
    <w:p>
      <w:pPr>
        <w:spacing w:line="480" w:lineRule="exact"/>
        <w:rPr>
          <w:rFonts w:hint="eastAsia" w:ascii="仿宋" w:hAnsi="仿宋" w:eastAsia="仿宋"/>
          <w:color w:val="000000"/>
          <w:sz w:val="28"/>
          <w:szCs w:val="28"/>
          <w:u w:val="single"/>
        </w:rPr>
      </w:pPr>
    </w:p>
    <w:p>
      <w:pPr>
        <w:spacing w:line="240" w:lineRule="auto"/>
        <w:rPr>
          <w:rFonts w:hint="eastAsia" w:ascii="仿宋" w:hAnsi="仿宋" w:eastAsia="仿宋"/>
          <w:color w:val="000000"/>
          <w:sz w:val="28"/>
          <w:szCs w:val="28"/>
          <w:u w:val="single"/>
        </w:rPr>
      </w:pPr>
      <w:r>
        <w:rPr>
          <w:rFonts w:ascii="仿宋" w:hAnsi="仿宋" w:eastAsia="仿宋"/>
          <w:color w:val="000000"/>
          <w:sz w:val="28"/>
          <w:szCs w:val="28"/>
          <w:u w:val="single"/>
        </w:rPr>
        <w:br w:type="page"/>
      </w:r>
      <w:r>
        <w:rPr>
          <w:rFonts w:hint="eastAsia" w:ascii="仿宋" w:hAnsi="仿宋" w:eastAsia="仿宋"/>
          <w:b/>
          <w:bCs/>
          <w:color w:val="000000"/>
          <w:sz w:val="28"/>
          <w:szCs w:val="28"/>
        </w:rPr>
        <w:t>光彩银星拍卖有限公司</w:t>
      </w:r>
      <w:r>
        <w:rPr>
          <w:rFonts w:hint="eastAsia" w:ascii="仿宋" w:hAnsi="仿宋" w:eastAsia="仿宋"/>
          <w:b/>
          <w:bCs/>
          <w:color w:val="000000"/>
          <w:sz w:val="28"/>
          <w:szCs w:val="28"/>
          <w:u w:val="none"/>
        </w:rPr>
        <w:t>：</w:t>
      </w:r>
    </w:p>
    <w:p>
      <w:pPr>
        <w:tabs>
          <w:tab w:val="left" w:pos="1710"/>
        </w:tabs>
        <w:spacing w:line="4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对以上风险提示，我方已被告知并完全理解，我方在参加竞买前已详细查阅了前述不良资产的档案资料，并展开了商业调查，我方已谨慎评估了受让风险。因此，我方承诺：</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我方对贷款债权可能存在的瑕疵或风险完全理解并予以认可，同意按照现状受让贷款债权，我方受让债权后将不以任何理由向长城公司山东分公司追索任何责任。我方承诺不因上述瑕疵或风险而要求长城公司山东分公司赔偿、回购或承担任何责任，并放弃主张转让协议无效或要求人民法院撤销转让协议，或以贷款债权存在上述瑕疵或风险作为减轻或免除其义务和责任的抗辩理由。我方同时承诺，其从长城公司山东分公司处受让债权后将该等债权再行转让给第三方的，若第三方在主张权利过程中不能实现债权而发生纠纷的，由我方承担责任，不向长城公司山东分公司追偿。</w:t>
      </w:r>
    </w:p>
    <w:p>
      <w:pPr>
        <w:spacing w:line="480" w:lineRule="exact"/>
        <w:ind w:firstLine="700" w:firstLineChars="250"/>
        <w:rPr>
          <w:rFonts w:ascii="仿宋" w:hAnsi="仿宋" w:eastAsia="仿宋"/>
          <w:color w:val="000000"/>
          <w:sz w:val="28"/>
          <w:szCs w:val="28"/>
        </w:rPr>
      </w:pPr>
      <w:r>
        <w:rPr>
          <w:rFonts w:hint="eastAsia" w:ascii="仿宋" w:hAnsi="仿宋" w:eastAsia="仿宋"/>
          <w:color w:val="000000"/>
          <w:sz w:val="28"/>
          <w:szCs w:val="28"/>
        </w:rPr>
        <w:t>对以上瑕疵与风险提示，我方已被告知并完全理解，并展开了商业调查，参与本次竞价活动之前已谨慎评估了受让风险。因此，我方承诺：无论是已披露或未披露的瑕疵而引发的风险，我方均自行承担一切损失或预期利益的不获得。我方在此进一步确认，在其充分认识上述风险后，并经审慎后作出参与本次竞价活动的决定，同意按照现状收购前述债权资产。</w:t>
      </w:r>
    </w:p>
    <w:p>
      <w:pPr>
        <w:spacing w:line="480" w:lineRule="exact"/>
        <w:ind w:firstLine="700" w:firstLineChars="250"/>
        <w:rPr>
          <w:rFonts w:hint="eastAsia" w:ascii="仿宋" w:hAnsi="仿宋" w:eastAsia="仿宋"/>
          <w:color w:val="000000"/>
          <w:sz w:val="28"/>
          <w:szCs w:val="28"/>
        </w:rPr>
      </w:pPr>
      <w:r>
        <w:rPr>
          <w:rFonts w:hint="eastAsia" w:ascii="仿宋" w:hAnsi="仿宋" w:eastAsia="仿宋"/>
          <w:color w:val="000000"/>
          <w:sz w:val="28"/>
          <w:szCs w:val="28"/>
        </w:rPr>
        <w:t>我方如竞买成功，须同意按照现状受让转让标的，并承诺：（1）不因前述瑕疵或风险而要求长城公司山东分公司赔偿、回购或承担任何责任；（2）在任何情况下，放弃主张转让协议无效或要求人民法院撤销转让协议，或以转让标的存在前述瑕疵或风险作为减轻或免除其义务和责任的抗辩理由；（3）我方在本次竞买成功后，如将该转让标的再行转让给第三方的，若第三方在主张权利过程中发生纠纷，由我方承担责任，我方及第三方均不得向长城公司山东分公司追偿。</w:t>
      </w:r>
    </w:p>
    <w:p>
      <w:pPr>
        <w:spacing w:line="480" w:lineRule="exact"/>
        <w:ind w:firstLine="700" w:firstLineChars="250"/>
        <w:rPr>
          <w:rFonts w:hint="eastAsia" w:ascii="仿宋" w:hAnsi="仿宋" w:eastAsia="仿宋"/>
          <w:color w:val="000000"/>
          <w:sz w:val="28"/>
          <w:szCs w:val="28"/>
        </w:rPr>
      </w:pPr>
      <w:r>
        <w:rPr>
          <w:rFonts w:hint="eastAsia" w:ascii="仿宋" w:hAnsi="仿宋" w:eastAsia="仿宋"/>
          <w:color w:val="000000"/>
          <w:sz w:val="28"/>
          <w:szCs w:val="28"/>
        </w:rPr>
        <w:t>我方承诺：在受让转让标的后，如因法律规定等原因而导致转让合同无效，自愿放弃对长城公司山东分公司的赔偿请求权。</w:t>
      </w:r>
    </w:p>
    <w:p>
      <w:pPr>
        <w:spacing w:line="4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方完全认可、接受上述《拍卖标的瑕疵说明及确认书》中的瑕疵及所做承诺，无论是已披露或未披露的瑕疵而引发的风险，我方均自行承担一切损失或预期利益的不获得，自愿承担一切风险。前述不良资产有可能存在原剥离银行虚假剥离不良资产等情况，我方同意无条件放弃向长城公司山东分公司或原剥离银行追索的权利。</w:t>
      </w:r>
    </w:p>
    <w:p>
      <w:pPr>
        <w:spacing w:line="480" w:lineRule="exact"/>
        <w:ind w:firstLine="560" w:firstLineChars="200"/>
        <w:rPr>
          <w:rFonts w:hint="eastAsia" w:ascii="仿宋" w:hAnsi="仿宋" w:eastAsia="仿宋"/>
          <w:color w:val="000000"/>
          <w:sz w:val="28"/>
          <w:szCs w:val="28"/>
        </w:rPr>
      </w:pPr>
    </w:p>
    <w:p>
      <w:pPr>
        <w:spacing w:line="480" w:lineRule="exact"/>
        <w:ind w:firstLine="4298" w:firstLineChars="1535"/>
        <w:rPr>
          <w:rFonts w:hint="eastAsia" w:ascii="仿宋" w:hAnsi="仿宋" w:eastAsia="仿宋"/>
          <w:color w:val="000000"/>
          <w:sz w:val="28"/>
          <w:szCs w:val="28"/>
        </w:rPr>
      </w:pPr>
    </w:p>
    <w:p>
      <w:pPr>
        <w:snapToGrid w:val="0"/>
        <w:spacing w:line="480" w:lineRule="exact"/>
        <w:ind w:firstLine="1820" w:firstLineChars="650"/>
        <w:rPr>
          <w:rFonts w:hint="eastAsia" w:ascii="仿宋" w:hAnsi="仿宋" w:eastAsia="仿宋"/>
          <w:color w:val="000000"/>
          <w:sz w:val="28"/>
          <w:szCs w:val="28"/>
        </w:rPr>
      </w:pPr>
      <w:r>
        <w:rPr>
          <w:rFonts w:hint="eastAsia" w:ascii="仿宋" w:hAnsi="仿宋" w:eastAsia="仿宋"/>
          <w:color w:val="000000"/>
          <w:sz w:val="28"/>
          <w:szCs w:val="28"/>
        </w:rPr>
        <w:t>意向竞买人（盖章）：</w:t>
      </w:r>
    </w:p>
    <w:p>
      <w:pPr>
        <w:snapToGrid w:val="0"/>
        <w:spacing w:line="480" w:lineRule="exact"/>
        <w:ind w:left="-2" w:leftChars="-1" w:firstLine="1803" w:firstLineChars="644"/>
        <w:rPr>
          <w:rFonts w:hint="eastAsia" w:ascii="仿宋" w:hAnsi="仿宋" w:eastAsia="仿宋"/>
          <w:color w:val="000000"/>
          <w:sz w:val="28"/>
          <w:szCs w:val="28"/>
        </w:rPr>
      </w:pPr>
      <w:r>
        <w:rPr>
          <w:rFonts w:hint="eastAsia" w:ascii="仿宋" w:hAnsi="仿宋" w:eastAsia="仿宋"/>
          <w:color w:val="000000"/>
          <w:sz w:val="28"/>
          <w:szCs w:val="28"/>
        </w:rPr>
        <w:t>法定代表人：</w:t>
      </w:r>
    </w:p>
    <w:p>
      <w:pPr>
        <w:snapToGrid w:val="0"/>
        <w:spacing w:line="480" w:lineRule="exact"/>
        <w:ind w:left="-2" w:leftChars="-1" w:firstLine="1803" w:firstLineChars="644"/>
        <w:rPr>
          <w:rFonts w:hint="eastAsia" w:ascii="仿宋" w:hAnsi="仿宋" w:eastAsia="仿宋"/>
          <w:color w:val="000000"/>
          <w:sz w:val="28"/>
          <w:szCs w:val="28"/>
        </w:rPr>
      </w:pPr>
      <w:r>
        <w:rPr>
          <w:rFonts w:hint="eastAsia" w:ascii="仿宋" w:hAnsi="仿宋" w:eastAsia="仿宋"/>
          <w:color w:val="000000"/>
          <w:sz w:val="28"/>
          <w:szCs w:val="28"/>
        </w:rPr>
        <w:t xml:space="preserve">或委托代理人（签名）：            </w:t>
      </w:r>
    </w:p>
    <w:p>
      <w:pPr>
        <w:snapToGrid w:val="0"/>
        <w:spacing w:line="480" w:lineRule="exact"/>
        <w:ind w:left="-2" w:leftChars="-1" w:firstLine="1803" w:firstLineChars="644"/>
        <w:rPr>
          <w:rFonts w:hint="eastAsia" w:ascii="仿宋" w:hAnsi="仿宋" w:eastAsia="仿宋"/>
          <w:color w:val="000000"/>
          <w:sz w:val="28"/>
          <w:szCs w:val="28"/>
        </w:rPr>
      </w:pPr>
    </w:p>
    <w:p>
      <w:pPr>
        <w:snapToGrid w:val="0"/>
        <w:spacing w:line="480" w:lineRule="exact"/>
        <w:ind w:left="-2" w:leftChars="-1" w:firstLine="1803" w:firstLineChars="644"/>
        <w:rPr>
          <w:rFonts w:hint="eastAsia" w:ascii="仿宋" w:hAnsi="仿宋" w:eastAsia="仿宋"/>
          <w:color w:val="000000"/>
          <w:sz w:val="28"/>
          <w:szCs w:val="28"/>
        </w:rPr>
      </w:pPr>
    </w:p>
    <w:p>
      <w:pPr>
        <w:spacing w:line="480" w:lineRule="exact"/>
        <w:ind w:firstLine="0" w:firstLineChars="0"/>
        <w:jc w:val="right"/>
        <w:rPr>
          <w:rFonts w:hint="eastAsia" w:ascii="仿宋" w:hAnsi="仿宋" w:eastAsia="仿宋"/>
          <w:color w:val="000000"/>
          <w:sz w:val="28"/>
          <w:szCs w:val="28"/>
        </w:rPr>
      </w:pPr>
      <w:r>
        <w:rPr>
          <w:rFonts w:hint="eastAsia" w:ascii="仿宋" w:hAnsi="仿宋" w:eastAsia="仿宋" w:cs="Times New Roman"/>
          <w:color w:val="000000"/>
          <w:sz w:val="28"/>
          <w:szCs w:val="28"/>
        </w:rPr>
        <w:t>二O二O年</w:t>
      </w:r>
      <w:r>
        <w:rPr>
          <w:rFonts w:hint="eastAsia" w:ascii="仿宋" w:hAnsi="仿宋" w:eastAsia="仿宋" w:cs="Times New Roman"/>
          <w:color w:val="000000"/>
          <w:sz w:val="28"/>
          <w:szCs w:val="28"/>
          <w:lang w:val="en-US" w:eastAsia="zh-CN"/>
        </w:rPr>
        <w:t>十二</w:t>
      </w:r>
      <w:r>
        <w:rPr>
          <w:rFonts w:hint="eastAsia" w:ascii="仿宋" w:hAnsi="仿宋" w:eastAsia="仿宋" w:cs="Times New Roman"/>
          <w:color w:val="000000"/>
          <w:sz w:val="28"/>
          <w:szCs w:val="28"/>
        </w:rPr>
        <w:t>月</w:t>
      </w:r>
      <w:r>
        <w:rPr>
          <w:rFonts w:hint="eastAsia" w:ascii="仿宋" w:hAnsi="仿宋" w:eastAsia="仿宋" w:cs="Times New Roman"/>
          <w:color w:val="000000"/>
          <w:sz w:val="28"/>
          <w:szCs w:val="28"/>
          <w:lang w:val="en-US" w:eastAsia="zh-CN"/>
        </w:rPr>
        <w:t>十六</w:t>
      </w:r>
      <w:r>
        <w:rPr>
          <w:rFonts w:hint="eastAsia" w:ascii="仿宋" w:hAnsi="仿宋" w:eastAsia="仿宋" w:cs="Times New Roman"/>
          <w:color w:val="000000"/>
          <w:sz w:val="28"/>
          <w:szCs w:val="28"/>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 xml:space="preserve">                                           </w:t>
    </w:r>
    <w:r>
      <w:fldChar w:fldCharType="begin"/>
    </w:r>
    <w:r>
      <w:rPr>
        <w:rStyle w:val="12"/>
      </w:rPr>
      <w:instrText xml:space="preserve"> PAGE </w:instrText>
    </w:r>
    <w:r>
      <w:fldChar w:fldCharType="separate"/>
    </w:r>
    <w:r>
      <w:rPr>
        <w:rStyle w:val="12"/>
      </w:rP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2"/>
    <w:rsid w:val="000107E6"/>
    <w:rsid w:val="0005093E"/>
    <w:rsid w:val="00087F4D"/>
    <w:rsid w:val="000C1FB2"/>
    <w:rsid w:val="00156C84"/>
    <w:rsid w:val="001A10D8"/>
    <w:rsid w:val="00380600"/>
    <w:rsid w:val="00407E1B"/>
    <w:rsid w:val="00411964"/>
    <w:rsid w:val="00493FA1"/>
    <w:rsid w:val="004A7B13"/>
    <w:rsid w:val="00503251"/>
    <w:rsid w:val="00531492"/>
    <w:rsid w:val="005379A1"/>
    <w:rsid w:val="0059204E"/>
    <w:rsid w:val="005D45D0"/>
    <w:rsid w:val="00677725"/>
    <w:rsid w:val="00696159"/>
    <w:rsid w:val="006B3DF6"/>
    <w:rsid w:val="007745EF"/>
    <w:rsid w:val="00776E28"/>
    <w:rsid w:val="00972FCC"/>
    <w:rsid w:val="009E6445"/>
    <w:rsid w:val="00A1557D"/>
    <w:rsid w:val="00A15E89"/>
    <w:rsid w:val="00A602BA"/>
    <w:rsid w:val="00AB16F9"/>
    <w:rsid w:val="00AF5D9E"/>
    <w:rsid w:val="00BB656E"/>
    <w:rsid w:val="00BD078F"/>
    <w:rsid w:val="00C1405E"/>
    <w:rsid w:val="00C169DB"/>
    <w:rsid w:val="00D06D12"/>
    <w:rsid w:val="00D80BE3"/>
    <w:rsid w:val="00DB4569"/>
    <w:rsid w:val="00DF597A"/>
    <w:rsid w:val="00E07736"/>
    <w:rsid w:val="00E3263C"/>
    <w:rsid w:val="00E614E2"/>
    <w:rsid w:val="00EE4177"/>
    <w:rsid w:val="00F91415"/>
    <w:rsid w:val="00F970C3"/>
    <w:rsid w:val="00FB0511"/>
    <w:rsid w:val="00FE2755"/>
    <w:rsid w:val="025A769B"/>
    <w:rsid w:val="06B1427F"/>
    <w:rsid w:val="0D0B5C6F"/>
    <w:rsid w:val="11A74E57"/>
    <w:rsid w:val="11D4290F"/>
    <w:rsid w:val="151E573F"/>
    <w:rsid w:val="1F1C6FAE"/>
    <w:rsid w:val="24EC04AE"/>
    <w:rsid w:val="26767A40"/>
    <w:rsid w:val="2D8D7823"/>
    <w:rsid w:val="350332FC"/>
    <w:rsid w:val="3723716F"/>
    <w:rsid w:val="3DA66418"/>
    <w:rsid w:val="411421CE"/>
    <w:rsid w:val="43DF701A"/>
    <w:rsid w:val="44454AF5"/>
    <w:rsid w:val="465D2D4B"/>
    <w:rsid w:val="48853BDF"/>
    <w:rsid w:val="4C4966C7"/>
    <w:rsid w:val="4E4C0C5D"/>
    <w:rsid w:val="4EB93E21"/>
    <w:rsid w:val="4F390BF3"/>
    <w:rsid w:val="5B0828CC"/>
    <w:rsid w:val="61DC4792"/>
    <w:rsid w:val="6280424D"/>
    <w:rsid w:val="6308227E"/>
    <w:rsid w:val="6B56310C"/>
    <w:rsid w:val="6BAD71E3"/>
    <w:rsid w:val="72351628"/>
    <w:rsid w:val="74F3142E"/>
    <w:rsid w:val="75482095"/>
    <w:rsid w:val="7AAD6FA4"/>
    <w:rsid w:val="7BCC73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Body Text Indent"/>
    <w:basedOn w:val="1"/>
    <w:qFormat/>
    <w:uiPriority w:val="0"/>
    <w:pPr>
      <w:spacing w:after="120" w:afterLines="0"/>
      <w:ind w:left="420" w:leftChars="200"/>
    </w:pPr>
  </w:style>
  <w:style w:type="paragraph" w:styleId="4">
    <w:name w:val="Date"/>
    <w:basedOn w:val="1"/>
    <w:next w:val="1"/>
    <w:link w:val="16"/>
    <w:qFormat/>
    <w:uiPriority w:val="0"/>
    <w:pPr>
      <w:ind w:left="100" w:leftChars="2500"/>
    </w:pPr>
    <w:rPr>
      <w:kern w:val="2"/>
      <w:sz w:val="21"/>
      <w:szCs w:val="24"/>
    </w:rPr>
  </w:style>
  <w:style w:type="paragraph" w:styleId="5">
    <w:name w:val="Body Text Indent 2"/>
    <w:basedOn w:val="1"/>
    <w:qFormat/>
    <w:uiPriority w:val="0"/>
    <w:pPr>
      <w:ind w:firstLine="642" w:firstLineChars="200"/>
    </w:pPr>
    <w:rPr>
      <w:rFonts w:eastAsia="仿宋_GB2312"/>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1">
    <w:name w:val="_Style 7"/>
    <w:basedOn w:val="1"/>
    <w:link w:val="10"/>
    <w:qFormat/>
    <w:uiPriority w:val="0"/>
  </w:style>
  <w:style w:type="character" w:styleId="12">
    <w:name w:val="page number"/>
    <w:basedOn w:val="10"/>
    <w:qFormat/>
    <w:uiPriority w:val="0"/>
  </w:style>
  <w:style w:type="paragraph" w:customStyle="1" w:styleId="13">
    <w:name w:val="Char"/>
    <w:basedOn w:val="1"/>
    <w:qFormat/>
    <w:uiPriority w:val="0"/>
  </w:style>
  <w:style w:type="paragraph" w:customStyle="1" w:styleId="14">
    <w:name w:val="默认段落字体 Para Char Char Char Char Char Char Char"/>
    <w:basedOn w:val="1"/>
    <w:qFormat/>
    <w:uiPriority w:val="0"/>
  </w:style>
  <w:style w:type="paragraph" w:customStyle="1" w:styleId="15">
    <w:name w:val=" Char"/>
    <w:basedOn w:val="1"/>
    <w:qFormat/>
    <w:uiPriority w:val="0"/>
  </w:style>
  <w:style w:type="character" w:customStyle="1" w:styleId="16">
    <w:name w:val="日期 Char"/>
    <w:link w:val="4"/>
    <w:qFormat/>
    <w:uiPriority w:val="0"/>
    <w:rPr>
      <w:kern w:val="2"/>
      <w:sz w:val="21"/>
      <w:szCs w:val="24"/>
    </w:rPr>
  </w:style>
  <w:style w:type="character" w:customStyle="1" w:styleId="17">
    <w:name w:val="页眉 Char Char"/>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GWAMCC</Company>
  <Pages>4</Pages>
  <Words>346</Words>
  <Characters>1978</Characters>
  <Lines>16</Lines>
  <Paragraphs>4</Paragraphs>
  <TotalTime>3</TotalTime>
  <ScaleCrop>false</ScaleCrop>
  <LinksUpToDate>false</LinksUpToDate>
  <CharactersWithSpaces>2320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2009-08-21T00:09:00Z</dcterms:created>
  <dc:creator>陈炜(总公司)</dc:creator>
  <cp:lastModifiedBy>hongl</cp:lastModifiedBy>
  <cp:lastPrinted>2020-12-15T09:43:58Z</cp:lastPrinted>
  <dcterms:modified xsi:type="dcterms:W3CDTF">2020-12-15T09:49:45Z</dcterms:modified>
  <dc:title>附件1：</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