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w:t>
      </w:r>
      <w:r>
        <w:rPr>
          <w:rFonts w:hint="eastAsia" w:ascii="仿宋" w:hAnsi="仿宋" w:eastAsia="仿宋" w:cs="Times New Roman"/>
          <w:sz w:val="24"/>
        </w:rPr>
        <w:t>的</w:t>
      </w:r>
      <w:r>
        <w:rPr>
          <w:rFonts w:hint="eastAsia" w:ascii="仿宋" w:hAnsi="仿宋" w:eastAsia="仿宋" w:cs="Times New Roman"/>
          <w:sz w:val="24"/>
          <w:u w:val="single"/>
          <w:lang w:eastAsia="zh-CN"/>
        </w:rPr>
        <w:t>山东宝隆生物降解材料股份有限公司</w:t>
      </w:r>
      <w:r>
        <w:rPr>
          <w:rFonts w:hint="eastAsia" w:ascii="仿宋" w:hAnsi="仿宋" w:eastAsia="仿宋" w:cs="Times New Roman"/>
          <w:sz w:val="24"/>
          <w:u w:val="single"/>
        </w:rPr>
        <w:t>债权</w:t>
      </w:r>
      <w:r>
        <w:rPr>
          <w:rFonts w:hint="eastAsia" w:ascii="仿宋" w:hAnsi="仿宋" w:eastAsia="仿宋" w:cs="Times New Roman"/>
          <w:sz w:val="24"/>
        </w:rPr>
        <w:t>项目</w:t>
      </w:r>
      <w:r>
        <w:rPr>
          <w:rFonts w:hint="eastAsia" w:ascii="仿宋" w:hAnsi="仿宋" w:eastAsia="仿宋"/>
          <w:sz w:val="24"/>
        </w:rPr>
        <w:t>（下称“项目”），承诺人（以下简称“我方”）将接触中国长城资产管理股份有限公司【山东】省分公司（以下简称“长城公司”）的相关保密信息，为了保护长城的商业利益，我方特作如下承诺：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w:t>
      </w:r>
      <w:bookmarkStart w:id="0" w:name="_GoBack"/>
      <w:bookmarkEnd w:id="0"/>
      <w:r>
        <w:rPr>
          <w:rFonts w:hint="eastAsia" w:ascii="仿宋" w:hAnsi="仿宋" w:eastAsia="仿宋"/>
          <w:color w:val="000000"/>
          <w:sz w:val="24"/>
        </w:rPr>
        <w:t>司山东省分公司（以下简称长城公司）获得的与本项目有关或因本项目产生的以书面、口头、图像或者其他任何形式作为载体的任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9F972AE"/>
    <w:rsid w:val="14CF7B7A"/>
    <w:rsid w:val="1A15448A"/>
    <w:rsid w:val="2783673B"/>
    <w:rsid w:val="2DD75DB7"/>
    <w:rsid w:val="3D245786"/>
    <w:rsid w:val="7256093B"/>
    <w:rsid w:val="72A756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2020-12-15T09:08:28Z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