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b/>
          <w:sz w:val="24"/>
          <w:szCs w:val="24"/>
        </w:rPr>
      </w:pPr>
    </w:p>
    <w:p>
      <w:pPr>
        <w:spacing w:line="360" w:lineRule="auto"/>
        <w:jc w:val="center"/>
        <w:rPr>
          <w:rFonts w:hint="eastAsia" w:ascii="楷体" w:hAnsi="楷体" w:eastAsia="楷体"/>
          <w:b/>
          <w:szCs w:val="21"/>
        </w:rPr>
      </w:pPr>
      <w:r>
        <w:rPr>
          <w:rFonts w:hint="eastAsia" w:ascii="楷体" w:hAnsi="楷体" w:eastAsia="楷体"/>
          <w:b/>
          <w:sz w:val="24"/>
          <w:szCs w:val="24"/>
        </w:rPr>
        <w:t>附件四：《</w:t>
      </w:r>
      <w:r>
        <w:rPr>
          <w:rFonts w:hint="eastAsia" w:ascii="楷体" w:hAnsi="楷体" w:eastAsia="楷体"/>
          <w:b/>
          <w:sz w:val="24"/>
          <w:szCs w:val="24"/>
          <w:lang w:eastAsia="zh-CN"/>
        </w:rPr>
        <w:t>债权</w:t>
      </w:r>
      <w:r>
        <w:rPr>
          <w:rFonts w:hint="eastAsia" w:ascii="楷体" w:hAnsi="楷体" w:eastAsia="楷体"/>
          <w:b/>
          <w:sz w:val="24"/>
          <w:szCs w:val="24"/>
        </w:rPr>
        <w:t>转让协议》</w:t>
      </w:r>
    </w:p>
    <w:p>
      <w:pPr>
        <w:ind w:firstLine="4578" w:firstLineChars="1900"/>
        <w:rPr>
          <w:rFonts w:ascii="宋体" w:hAnsi="宋体" w:eastAsia="宋体" w:cs="Times New Roman"/>
          <w:b/>
          <w:sz w:val="24"/>
          <w:szCs w:val="24"/>
        </w:rPr>
      </w:pPr>
    </w:p>
    <w:p>
      <w:pPr>
        <w:ind w:firstLine="3990" w:firstLineChars="1900"/>
        <w:rPr>
          <w:rFonts w:ascii="宋体" w:hAnsi="宋体" w:eastAsia="宋体" w:cs="Times New Roman"/>
          <w:szCs w:val="21"/>
        </w:rPr>
      </w:pPr>
    </w:p>
    <w:p>
      <w:pPr>
        <w:ind w:firstLine="3990" w:firstLineChars="1900"/>
        <w:rPr>
          <w:rFonts w:ascii="宋体" w:hAnsi="宋体" w:eastAsia="宋体" w:cs="Times New Roman"/>
          <w:szCs w:val="21"/>
        </w:rPr>
      </w:pPr>
    </w:p>
    <w:p>
      <w:pPr>
        <w:ind w:firstLine="3990" w:firstLineChars="1900"/>
        <w:rPr>
          <w:rFonts w:ascii="宋体" w:hAnsi="宋体" w:eastAsia="宋体" w:cs="Times New Roman"/>
          <w:szCs w:val="21"/>
        </w:rPr>
      </w:pPr>
      <w:r>
        <w:rPr>
          <w:rFonts w:hint="eastAsia" w:ascii="宋体" w:hAnsi="宋体" w:eastAsia="宋体" w:cs="Times New Roman"/>
          <w:szCs w:val="21"/>
        </w:rPr>
        <w:t>编号：中长资（鲁）合字［　　］      号　　</w:t>
      </w:r>
    </w:p>
    <w:p>
      <w:pPr>
        <w:ind w:firstLine="360"/>
        <w:rPr>
          <w:rFonts w:ascii="宋体" w:hAnsi="宋体" w:eastAsia="宋体" w:cs="Times New Roman"/>
          <w:szCs w:val="21"/>
        </w:rPr>
      </w:pPr>
    </w:p>
    <w:p>
      <w:pPr>
        <w:ind w:firstLine="360"/>
        <w:jc w:val="center"/>
        <w:rPr>
          <w:rFonts w:ascii="宋体" w:hAnsi="宋体" w:eastAsia="宋体" w:cs="Times New Roman"/>
          <w:sz w:val="32"/>
          <w:szCs w:val="32"/>
        </w:rPr>
      </w:pPr>
    </w:p>
    <w:p>
      <w:pPr>
        <w:ind w:firstLine="360"/>
        <w:jc w:val="center"/>
        <w:rPr>
          <w:rFonts w:ascii="宋体" w:hAnsi="宋体" w:eastAsia="宋体" w:cs="Times New Roman"/>
          <w:sz w:val="32"/>
          <w:szCs w:val="32"/>
        </w:rPr>
      </w:pPr>
    </w:p>
    <w:p>
      <w:pPr>
        <w:ind w:firstLine="360"/>
        <w:jc w:val="center"/>
        <w:rPr>
          <w:rFonts w:ascii="仿宋_GB2312" w:hAnsi="宋体" w:eastAsia="仿宋_GB2312" w:cs="Times New Roman"/>
          <w:b/>
          <w:sz w:val="36"/>
          <w:szCs w:val="36"/>
        </w:rPr>
      </w:pPr>
      <w:r>
        <w:rPr>
          <w:rFonts w:hint="eastAsia" w:ascii="仿宋_GB2312" w:hAnsi="宋体" w:eastAsia="仿宋_GB2312" w:cs="Times New Roman"/>
          <w:b/>
          <w:sz w:val="36"/>
          <w:szCs w:val="36"/>
        </w:rPr>
        <w:t>中国长城资产管理股份有限公司</w:t>
      </w:r>
    </w:p>
    <w:p>
      <w:pPr>
        <w:ind w:firstLine="360"/>
        <w:jc w:val="center"/>
        <w:outlineLvl w:val="0"/>
        <w:rPr>
          <w:rFonts w:ascii="仿宋_GB2312" w:hAnsi="宋体" w:eastAsia="仿宋_GB2312" w:cs="Times New Roman"/>
          <w:b/>
          <w:sz w:val="36"/>
          <w:szCs w:val="36"/>
        </w:rPr>
      </w:pPr>
      <w:r>
        <w:rPr>
          <w:rFonts w:hint="eastAsia" w:ascii="仿宋_GB2312" w:hAnsi="宋体" w:eastAsia="仿宋_GB2312" w:cs="Times New Roman"/>
          <w:b/>
          <w:sz w:val="36"/>
          <w:szCs w:val="36"/>
        </w:rPr>
        <w:t>【　山东省　　】分公司与【　　　　　】</w:t>
      </w: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jc w:val="center"/>
        <w:rPr>
          <w:rFonts w:ascii="宋体" w:hAnsi="宋体" w:eastAsia="宋体" w:cs="Times New Roman"/>
          <w:b/>
          <w:sz w:val="72"/>
          <w:szCs w:val="72"/>
        </w:rPr>
      </w:pPr>
      <w:bookmarkStart w:id="0" w:name="_GoBack"/>
      <w:r>
        <w:rPr>
          <w:rFonts w:hint="eastAsia" w:ascii="宋体" w:hAnsi="宋体" w:eastAsia="宋体" w:cs="Times New Roman"/>
          <w:b/>
          <w:sz w:val="72"/>
          <w:szCs w:val="72"/>
        </w:rPr>
        <w:t>债权转让协议</w:t>
      </w:r>
    </w:p>
    <w:bookmarkEnd w:id="0"/>
    <w:p>
      <w:pPr>
        <w:ind w:firstLine="360"/>
        <w:jc w:val="center"/>
        <w:rPr>
          <w:rFonts w:ascii="宋体" w:hAnsi="宋体" w:eastAsia="宋体" w:cs="Times New Roman"/>
          <w:b/>
          <w:i/>
          <w:color w:val="FF0000"/>
          <w:sz w:val="28"/>
          <w:szCs w:val="2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jc w:val="center"/>
        <w:rPr>
          <w:rFonts w:ascii="宋体" w:hAnsi="宋体" w:eastAsia="宋体" w:cs="Times New Roman"/>
          <w:sz w:val="28"/>
          <w:szCs w:val="28"/>
        </w:rPr>
      </w:pP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2020</w:t>
      </w:r>
      <w:r>
        <w:rPr>
          <w:rFonts w:hint="eastAsia" w:ascii="宋体" w:hAnsi="宋体" w:eastAsia="宋体" w:cs="Times New Roman"/>
          <w:sz w:val="28"/>
          <w:szCs w:val="28"/>
        </w:rPr>
        <w:t>】年【</w:t>
      </w:r>
      <w:r>
        <w:rPr>
          <w:rFonts w:hint="eastAsia" w:ascii="宋体" w:hAnsi="宋体" w:cs="Times New Roman"/>
          <w:sz w:val="28"/>
          <w:szCs w:val="28"/>
          <w:lang w:val="en-US" w:eastAsia="zh-CN"/>
        </w:rPr>
        <w:t xml:space="preserve">   </w:t>
      </w:r>
      <w:r>
        <w:rPr>
          <w:rFonts w:hint="eastAsia" w:ascii="宋体" w:hAnsi="宋体" w:eastAsia="宋体" w:cs="Times New Roman"/>
          <w:sz w:val="28"/>
          <w:szCs w:val="28"/>
        </w:rPr>
        <w:t>】月【　　　】日</w:t>
      </w: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ind w:firstLine="360"/>
        <w:rPr>
          <w:rFonts w:ascii="宋体" w:hAnsi="宋体" w:eastAsia="宋体" w:cs="Times New Roman"/>
          <w:sz w:val="18"/>
          <w:szCs w:val="18"/>
        </w:rPr>
      </w:pPr>
    </w:p>
    <w:p>
      <w:pPr>
        <w:spacing w:line="380" w:lineRule="atLeast"/>
        <w:jc w:val="center"/>
        <w:rPr>
          <w:rFonts w:ascii="仿宋_GB2312" w:hAnsi="Times New Roman" w:eastAsia="仿宋_GB2312" w:cs="Times New Roman"/>
          <w:b/>
          <w:sz w:val="44"/>
          <w:szCs w:val="44"/>
        </w:rPr>
      </w:pPr>
      <w:r>
        <w:rPr>
          <w:rFonts w:ascii="仿宋_GB2312" w:hAnsi="Times New Roman" w:eastAsia="仿宋_GB2312" w:cs="Times New Roman"/>
          <w:b/>
          <w:sz w:val="44"/>
          <w:szCs w:val="44"/>
        </w:rPr>
        <w:t>债权转让</w:t>
      </w:r>
      <w:r>
        <w:rPr>
          <w:rFonts w:hint="eastAsia" w:ascii="仿宋_GB2312" w:hAnsi="Times New Roman" w:eastAsia="仿宋_GB2312" w:cs="Times New Roman"/>
          <w:b/>
          <w:sz w:val="44"/>
          <w:szCs w:val="44"/>
        </w:rPr>
        <w:t>协议</w:t>
      </w:r>
    </w:p>
    <w:p>
      <w:pPr>
        <w:spacing w:line="360" w:lineRule="auto"/>
        <w:rPr>
          <w:rFonts w:ascii="仿宋_GB2312" w:hAnsi="Times New Roman" w:eastAsia="仿宋_GB2312" w:cs="Times New Roman"/>
          <w:sz w:val="24"/>
          <w:szCs w:val="24"/>
        </w:rPr>
      </w:pP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本协议由以下双方于</w:t>
      </w:r>
      <w:r>
        <w:rPr>
          <w:rFonts w:hint="eastAsia" w:ascii="楷体_GB2312" w:hAnsi="Times New Roman" w:eastAsia="楷体_GB2312" w:cs="Times New Roman"/>
          <w:sz w:val="24"/>
          <w:szCs w:val="24"/>
          <w:u w:val="single"/>
          <w:lang w:val="en-US" w:eastAsia="zh-CN"/>
        </w:rPr>
        <w:t>2020</w:t>
      </w:r>
      <w:r>
        <w:rPr>
          <w:rFonts w:ascii="楷体_GB2312" w:hAnsi="Times New Roman" w:eastAsia="楷体_GB2312" w:cs="Times New Roman"/>
          <w:sz w:val="24"/>
          <w:szCs w:val="24"/>
        </w:rPr>
        <w:t>年</w:t>
      </w:r>
      <w:r>
        <w:rPr>
          <w:rFonts w:hint="eastAsia" w:ascii="楷体_GB2312" w:eastAsia="楷体_GB2312" w:cs="Times New Roman"/>
          <w:sz w:val="24"/>
          <w:szCs w:val="24"/>
          <w:u w:val="single"/>
          <w:lang w:val="en-US" w:eastAsia="zh-CN"/>
        </w:rPr>
        <w:t xml:space="preserve">   </w:t>
      </w:r>
      <w:r>
        <w:rPr>
          <w:rFonts w:ascii="楷体_GB2312" w:hAnsi="Times New Roman" w:eastAsia="楷体_GB2312" w:cs="Times New Roman"/>
          <w:sz w:val="24"/>
          <w:szCs w:val="24"/>
        </w:rPr>
        <w:t>月</w:t>
      </w:r>
      <w:r>
        <w:rPr>
          <w:rFonts w:ascii="楷体_GB2312" w:hAnsi="Times New Roman" w:eastAsia="楷体_GB2312" w:cs="Times New Roman"/>
          <w:sz w:val="24"/>
          <w:szCs w:val="24"/>
          <w:u w:val="single"/>
        </w:rPr>
        <w:t xml:space="preserve">    </w:t>
      </w:r>
      <w:r>
        <w:rPr>
          <w:rFonts w:ascii="楷体_GB2312" w:hAnsi="Times New Roman" w:eastAsia="楷体_GB2312" w:cs="Times New Roman"/>
          <w:sz w:val="24"/>
          <w:szCs w:val="24"/>
        </w:rPr>
        <w:t>日在</w:t>
      </w:r>
      <w:r>
        <w:rPr>
          <w:rFonts w:hint="eastAsia" w:ascii="楷体_GB2312" w:hAnsi="Times New Roman" w:eastAsia="楷体_GB2312" w:cs="Times New Roman"/>
          <w:sz w:val="24"/>
          <w:szCs w:val="24"/>
          <w:u w:val="single"/>
          <w:lang w:eastAsia="zh-CN"/>
        </w:rPr>
        <w:t>济南</w:t>
      </w:r>
      <w:r>
        <w:rPr>
          <w:rFonts w:ascii="楷体_GB2312" w:hAnsi="Times New Roman" w:eastAsia="楷体_GB2312" w:cs="Times New Roman"/>
          <w:sz w:val="24"/>
          <w:szCs w:val="24"/>
        </w:rPr>
        <w:t>签署：</w:t>
      </w:r>
    </w:p>
    <w:p>
      <w:pPr>
        <w:spacing w:after="240" w:line="380" w:lineRule="atLeast"/>
        <w:ind w:right="480"/>
        <w:rPr>
          <w:rFonts w:ascii="Times New Roman" w:hAnsi="Times New Roman" w:eastAsia="仿宋_GB2312" w:cs="Times New Roman"/>
          <w:sz w:val="24"/>
          <w:szCs w:val="24"/>
        </w:rPr>
      </w:pPr>
    </w:p>
    <w:p>
      <w:pPr>
        <w:spacing w:line="36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甲      方：中国长城资产管理股份有限公司</w:t>
      </w:r>
      <w:r>
        <w:rPr>
          <w:rFonts w:hint="eastAsia" w:ascii="Times New Roman" w:hAnsi="Times New Roman" w:eastAsia="仿宋_GB2312" w:cs="Times New Roman"/>
          <w:b/>
          <w:bCs/>
          <w:sz w:val="24"/>
          <w:szCs w:val="24"/>
        </w:rPr>
        <w:t>山东省</w:t>
      </w:r>
      <w:r>
        <w:rPr>
          <w:rFonts w:ascii="Times New Roman" w:hAnsi="Times New Roman" w:eastAsia="仿宋_GB2312" w:cs="Times New Roman"/>
          <w:b/>
          <w:bCs/>
          <w:sz w:val="24"/>
          <w:szCs w:val="24"/>
        </w:rPr>
        <w:t>分公司（转让方）</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负  责  人：</w:t>
      </w:r>
      <w:r>
        <w:rPr>
          <w:rFonts w:hint="eastAsia" w:ascii="楷体_GB2312" w:hAnsi="Times New Roman" w:eastAsia="楷体_GB2312" w:cs="Times New Roman"/>
          <w:sz w:val="24"/>
          <w:szCs w:val="24"/>
        </w:rPr>
        <w:t>郭小霞</w:t>
      </w:r>
      <w:r>
        <w:rPr>
          <w:rFonts w:ascii="楷体_GB2312" w:hAnsi="Times New Roman" w:eastAsia="楷体_GB2312" w:cs="Times New Roman"/>
          <w:sz w:val="24"/>
          <w:szCs w:val="24"/>
        </w:rPr>
        <w:t xml:space="preserve">            职    务： </w:t>
      </w:r>
      <w:r>
        <w:rPr>
          <w:rFonts w:hint="eastAsia" w:ascii="楷体_GB2312" w:hAnsi="Times New Roman" w:eastAsia="楷体_GB2312" w:cs="Times New Roman"/>
          <w:sz w:val="24"/>
          <w:szCs w:val="24"/>
        </w:rPr>
        <w:t>总经理</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地      址：</w:t>
      </w:r>
      <w:r>
        <w:rPr>
          <w:rFonts w:hint="eastAsia" w:ascii="楷体_GB2312" w:hAnsi="Times New Roman" w:eastAsia="楷体_GB2312" w:cs="Times New Roman"/>
          <w:sz w:val="24"/>
          <w:szCs w:val="24"/>
        </w:rPr>
        <w:t>济南市市中区经七路168号银河大厦</w:t>
      </w:r>
      <w:r>
        <w:rPr>
          <w:rFonts w:ascii="楷体_GB2312" w:hAnsi="Times New Roman" w:eastAsia="楷体_GB2312" w:cs="Times New Roman"/>
          <w:sz w:val="24"/>
          <w:szCs w:val="24"/>
        </w:rPr>
        <w:t xml:space="preserve">  邮政编码：</w:t>
      </w:r>
      <w:r>
        <w:rPr>
          <w:rFonts w:hint="eastAsia" w:ascii="楷体_GB2312" w:hAnsi="Times New Roman" w:eastAsia="楷体_GB2312" w:cs="Times New Roman"/>
          <w:sz w:val="24"/>
          <w:szCs w:val="24"/>
        </w:rPr>
        <w:t>250001</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电      话：</w:t>
      </w:r>
      <w:r>
        <w:rPr>
          <w:rFonts w:hint="eastAsia" w:ascii="楷体_GB2312" w:eastAsia="楷体_GB2312"/>
          <w:sz w:val="24"/>
        </w:rPr>
        <w:t>0531-82079898</w:t>
      </w:r>
      <w:r>
        <w:rPr>
          <w:rFonts w:hint="eastAsia" w:ascii="楷体_GB2312" w:eastAsia="楷体_GB2312"/>
          <w:sz w:val="24"/>
          <w:lang w:val="en-US" w:eastAsia="zh-CN"/>
        </w:rPr>
        <w:t xml:space="preserve">     </w:t>
      </w:r>
      <w:r>
        <w:rPr>
          <w:rFonts w:ascii="楷体_GB2312" w:hAnsi="Times New Roman" w:eastAsia="楷体_GB2312" w:cs="Times New Roman"/>
          <w:sz w:val="24"/>
          <w:szCs w:val="24"/>
        </w:rPr>
        <w:t>传    真：</w:t>
      </w:r>
      <w:r>
        <w:rPr>
          <w:rFonts w:hint="eastAsia" w:ascii="楷体_GB2312" w:eastAsia="楷体_GB2312"/>
          <w:sz w:val="24"/>
        </w:rPr>
        <w:t>0531-82079799</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乙      方：</w:t>
      </w:r>
      <w:r>
        <w:rPr>
          <w:rFonts w:ascii="Times New Roman" w:hAnsi="Times New Roman" w:eastAsia="仿宋_GB2312" w:cs="Times New Roman"/>
          <w:b/>
          <w:bCs/>
          <w:sz w:val="24"/>
          <w:szCs w:val="24"/>
          <w:u w:val="single"/>
        </w:rPr>
        <w:t xml:space="preserve">                               </w:t>
      </w:r>
      <w:r>
        <w:rPr>
          <w:rFonts w:ascii="Times New Roman" w:hAnsi="Times New Roman" w:eastAsia="仿宋_GB2312" w:cs="Times New Roman"/>
          <w:b/>
          <w:bCs/>
          <w:sz w:val="24"/>
          <w:szCs w:val="24"/>
        </w:rPr>
        <w:t>（受让方）</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 xml:space="preserve">法定代表人：                  职    务： </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地      址：                  邮政编码：</w:t>
      </w:r>
    </w:p>
    <w:p>
      <w:pPr>
        <w:spacing w:line="360" w:lineRule="auto"/>
        <w:rPr>
          <w:rFonts w:ascii="楷体_GB2312" w:hAnsi="Times New Roman" w:eastAsia="楷体_GB2312" w:cs="Times New Roman"/>
          <w:sz w:val="24"/>
          <w:szCs w:val="24"/>
        </w:rPr>
      </w:pPr>
      <w:r>
        <w:rPr>
          <w:rFonts w:ascii="楷体_GB2312" w:hAnsi="Times New Roman" w:eastAsia="楷体_GB2312" w:cs="Times New Roman"/>
          <w:sz w:val="24"/>
          <w:szCs w:val="24"/>
        </w:rPr>
        <w:t>电      话：                  传    真：</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鉴于：</w:t>
      </w:r>
    </w:p>
    <w:p>
      <w:pPr>
        <w:spacing w:line="360" w:lineRule="auto"/>
        <w:ind w:firstLine="480" w:firstLineChars="200"/>
        <w:rPr>
          <w:rFonts w:ascii="楷体_GB2312" w:hAnsi="Times New Roman" w:eastAsia="楷体_GB2312" w:cs="Times New Roman"/>
          <w:sz w:val="24"/>
          <w:szCs w:val="24"/>
          <w:shd w:val="pct10" w:color="auto" w:fill="FFFFFF"/>
        </w:rPr>
      </w:pPr>
      <w:r>
        <w:rPr>
          <w:rFonts w:hint="eastAsia" w:ascii="楷体_GB2312" w:hAnsi="Times New Roman" w:eastAsia="楷体_GB2312" w:cs="Times New Roman"/>
          <w:sz w:val="24"/>
          <w:szCs w:val="24"/>
        </w:rPr>
        <w:t>1、甲方作为国有控股金融资产管理股份有限公司的分支机构，依法享有本协议附件一《贷款债权明细表》项下借款人</w:t>
      </w:r>
      <w:r>
        <w:rPr>
          <w:rFonts w:hint="eastAsia" w:ascii="楷体_GB2312" w:eastAsia="楷体_GB2312" w:cs="Times New Roman"/>
          <w:sz w:val="24"/>
          <w:szCs w:val="24"/>
          <w:lang w:eastAsia="zh-CN"/>
        </w:rPr>
        <w:t>山东宝隆生物降解材料股份有限公司</w:t>
      </w:r>
      <w:r>
        <w:rPr>
          <w:rFonts w:hint="eastAsia" w:ascii="楷体_GB2312" w:hAnsi="Times New Roman" w:eastAsia="楷体_GB2312" w:cs="Times New Roman"/>
          <w:sz w:val="24"/>
          <w:szCs w:val="24"/>
        </w:rPr>
        <w:t>的金融债权资产及其附属权益（统称贷款债权，见第1.3款定义）；</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2、甲方根据有关法律、法规及政府部门的规定，采取</w:t>
      </w:r>
      <w:r>
        <w:rPr>
          <w:rFonts w:hint="eastAsia" w:ascii="楷体_GB2312" w:hAnsi="Times New Roman" w:eastAsia="楷体_GB2312" w:cs="Times New Roman"/>
          <w:i w:val="0"/>
          <w:sz w:val="24"/>
          <w:szCs w:val="24"/>
        </w:rPr>
        <w:t>拍卖</w:t>
      </w:r>
      <w:r>
        <w:rPr>
          <w:rFonts w:hint="eastAsia" w:ascii="楷体_GB2312" w:hAnsi="Times New Roman" w:eastAsia="楷体_GB2312" w:cs="Times New Roman"/>
          <w:sz w:val="24"/>
          <w:szCs w:val="24"/>
        </w:rPr>
        <w:t>转让方式转让贷款债权；</w:t>
      </w:r>
    </w:p>
    <w:p>
      <w:pPr>
        <w:spacing w:line="360" w:lineRule="auto"/>
        <w:ind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3、乙方确认其已按照</w:t>
      </w:r>
      <w:r>
        <w:rPr>
          <w:rFonts w:hint="eastAsia" w:ascii="楷体_GB2312" w:eastAsia="楷体_GB2312" w:cs="Times New Roman"/>
          <w:i w:val="0"/>
          <w:color w:val="auto"/>
          <w:sz w:val="24"/>
          <w:szCs w:val="24"/>
          <w:u w:val="none"/>
          <w:lang w:eastAsia="zh-CN"/>
        </w:rPr>
        <w:t>光彩银星拍卖有限公司</w:t>
      </w:r>
      <w:r>
        <w:rPr>
          <w:rFonts w:hint="eastAsia" w:ascii="楷体_GB2312" w:hAnsi="Times New Roman" w:eastAsia="楷体_GB2312" w:cs="Times New Roman"/>
          <w:i w:val="0"/>
          <w:color w:val="auto"/>
          <w:sz w:val="24"/>
          <w:szCs w:val="24"/>
          <w:u w:val="none"/>
        </w:rPr>
        <w:t>（</w:t>
      </w:r>
      <w:r>
        <w:rPr>
          <w:rFonts w:hint="eastAsia" w:ascii="楷体_GB2312" w:hAnsi="Times New Roman" w:eastAsia="楷体_GB2312" w:cs="Times New Roman"/>
          <w:i w:val="0"/>
          <w:color w:val="auto"/>
          <w:sz w:val="24"/>
          <w:szCs w:val="24"/>
        </w:rPr>
        <w:t xml:space="preserve">以下简称“拍卖机构”）制订的拍卖规则，对本协议项下贷款债权实施了其认为必要的尽职调查，并确认甲方和拍卖人已向其充分披露了贷款债权存在或可能存在的瑕疵与风险，乙方自主决定参加该贷款债权的拍卖活动； </w:t>
      </w:r>
    </w:p>
    <w:p>
      <w:pPr>
        <w:spacing w:line="360" w:lineRule="auto"/>
        <w:ind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4、乙方凭借其在</w:t>
      </w:r>
      <w:r>
        <w:rPr>
          <w:rFonts w:hint="eastAsia" w:ascii="楷体_GB2312" w:hAnsi="Times New Roman" w:eastAsia="楷体_GB2312" w:cs="Times New Roman"/>
          <w:i w:val="0"/>
          <w:color w:val="auto"/>
          <w:sz w:val="24"/>
          <w:szCs w:val="24"/>
          <w:u w:val="none"/>
        </w:rPr>
        <w:t xml:space="preserve"> </w:t>
      </w:r>
      <w:r>
        <w:rPr>
          <w:rFonts w:hint="eastAsia" w:ascii="楷体_GB2312" w:hAnsi="Times New Roman" w:eastAsia="楷体_GB2312" w:cs="Times New Roman"/>
          <w:i w:val="0"/>
          <w:color w:val="auto"/>
          <w:sz w:val="24"/>
          <w:szCs w:val="24"/>
          <w:u w:val="none"/>
          <w:lang w:eastAsia="zh-CN"/>
        </w:rPr>
        <w:t>2</w:t>
      </w:r>
      <w:r>
        <w:rPr>
          <w:rFonts w:hint="eastAsia" w:ascii="楷体_GB2312" w:hAnsi="Times New Roman" w:eastAsia="楷体_GB2312" w:cs="Times New Roman"/>
          <w:i w:val="0"/>
          <w:color w:val="auto"/>
          <w:sz w:val="24"/>
          <w:szCs w:val="24"/>
          <w:u w:val="none"/>
          <w:lang w:val="en-US" w:eastAsia="zh-CN"/>
        </w:rPr>
        <w:t>020</w:t>
      </w:r>
      <w:r>
        <w:rPr>
          <w:rFonts w:hint="eastAsia" w:ascii="楷体_GB2312" w:hAnsi="Times New Roman" w:eastAsia="楷体_GB2312" w:cs="Times New Roman"/>
          <w:i w:val="0"/>
          <w:color w:val="auto"/>
          <w:sz w:val="24"/>
          <w:szCs w:val="24"/>
        </w:rPr>
        <w:t>年</w:t>
      </w:r>
      <w:r>
        <w:rPr>
          <w:rFonts w:hint="eastAsia" w:ascii="楷体_GB2312" w:eastAsia="楷体_GB2312" w:cs="Times New Roman"/>
          <w:i w:val="0"/>
          <w:color w:val="auto"/>
          <w:sz w:val="24"/>
          <w:szCs w:val="24"/>
          <w:u w:val="none"/>
          <w:lang w:val="en-US" w:eastAsia="zh-CN"/>
        </w:rPr>
        <w:t xml:space="preserve">  </w:t>
      </w:r>
      <w:r>
        <w:rPr>
          <w:rFonts w:hint="eastAsia" w:ascii="楷体_GB2312" w:hAnsi="Times New Roman" w:eastAsia="楷体_GB2312" w:cs="Times New Roman"/>
          <w:i w:val="0"/>
          <w:color w:val="auto"/>
          <w:sz w:val="24"/>
          <w:szCs w:val="24"/>
          <w:u w:val="none"/>
          <w:lang w:val="en-US" w:eastAsia="zh-CN"/>
        </w:rPr>
        <w:t>月</w:t>
      </w:r>
      <w:r>
        <w:rPr>
          <w:rFonts w:hint="eastAsia" w:ascii="楷体_GB2312" w:eastAsia="楷体_GB2312" w:cs="Times New Roman"/>
          <w:i w:val="0"/>
          <w:sz w:val="24"/>
          <w:szCs w:val="24"/>
          <w:u w:val="none"/>
          <w:lang w:val="en-US" w:eastAsia="zh-CN"/>
        </w:rPr>
        <w:t xml:space="preserve">  </w:t>
      </w:r>
      <w:r>
        <w:rPr>
          <w:rFonts w:hint="eastAsia" w:ascii="楷体_GB2312" w:hAnsi="Times New Roman" w:eastAsia="楷体_GB2312" w:cs="Times New Roman"/>
          <w:i w:val="0"/>
          <w:color w:val="auto"/>
          <w:sz w:val="24"/>
          <w:szCs w:val="24"/>
        </w:rPr>
        <w:t>日</w:t>
      </w:r>
      <w:r>
        <w:rPr>
          <w:rFonts w:hint="eastAsia" w:ascii="楷体_GB2312" w:eastAsia="楷体_GB2312" w:cs="Times New Roman"/>
          <w:i w:val="0"/>
          <w:color w:val="auto"/>
          <w:sz w:val="24"/>
          <w:szCs w:val="24"/>
          <w:lang w:eastAsia="zh-CN"/>
        </w:rPr>
        <w:t>在济南</w:t>
      </w:r>
      <w:r>
        <w:rPr>
          <w:rFonts w:hint="eastAsia" w:ascii="楷体_GB2312" w:hAnsi="Times New Roman" w:eastAsia="楷体_GB2312" w:cs="Times New Roman"/>
          <w:i w:val="0"/>
          <w:color w:val="auto"/>
          <w:sz w:val="24"/>
          <w:szCs w:val="24"/>
        </w:rPr>
        <w:t>举行的拍卖活动中的最高应价，被确认为本次拍卖方式转让贷款债权的最终买受人；</w:t>
      </w:r>
    </w:p>
    <w:p>
      <w:pPr>
        <w:snapToGrid/>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5、乙方声明并保证，乙方自愿独立承担贷款债权的瑕疵、风险和预期利益无法实现的风险，乙方保证不因任何原因主张协议无效或要求撤销本协议或要求甲方回购或要求甲方及甲方前手权利人承担赔偿责任。</w:t>
      </w:r>
    </w:p>
    <w:p>
      <w:pPr>
        <w:snapToGrid w:val="0"/>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在此基础上，为进一步明确双方之间的权利义务关系，甲乙双方在平等自愿、友好协商的基础上，就债权转让相关的事宜达成如下协议，供双方共同遵守： </w:t>
      </w:r>
    </w:p>
    <w:p>
      <w:pPr>
        <w:snapToGrid w:val="0"/>
        <w:spacing w:line="360" w:lineRule="auto"/>
        <w:ind w:firstLine="480" w:firstLineChars="200"/>
        <w:rPr>
          <w:rFonts w:ascii="仿宋_GB2312" w:hAnsi="Times New Roman" w:eastAsia="仿宋_GB2312" w:cs="Times New Roman"/>
          <w:sz w:val="24"/>
          <w:szCs w:val="24"/>
        </w:rPr>
      </w:pPr>
    </w:p>
    <w:p>
      <w:pPr>
        <w:snapToGrid w:val="0"/>
        <w:spacing w:line="360" w:lineRule="auto"/>
        <w:ind w:firstLine="472" w:firstLineChars="196"/>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第一条  定义</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本协议中的下列词语具有定义所指的特定涵义，协议正文另有规定的除外：</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1.1 </w:t>
      </w:r>
      <w:r>
        <w:rPr>
          <w:rFonts w:hint="eastAsia" w:ascii="仿宋_GB2312" w:hAnsi="Times New Roman" w:eastAsia="仿宋_GB2312" w:cs="Times New Roman"/>
          <w:b/>
          <w:sz w:val="24"/>
          <w:szCs w:val="24"/>
        </w:rPr>
        <w:t>主债权</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指甲方对《贷款债权明细表》所列示的主债务人享有的并依法可向乙方转让的贷款本金及利息。</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1.2 </w:t>
      </w:r>
      <w:r>
        <w:rPr>
          <w:rFonts w:hint="eastAsia" w:ascii="仿宋_GB2312" w:hAnsi="Times New Roman" w:eastAsia="仿宋_GB2312" w:cs="Times New Roman"/>
          <w:b/>
          <w:sz w:val="24"/>
          <w:szCs w:val="24"/>
        </w:rPr>
        <w:t>担保权利：</w:t>
      </w:r>
      <w:r>
        <w:rPr>
          <w:rFonts w:hint="eastAsia" w:ascii="楷体_GB2312" w:hAnsi="Times New Roman" w:eastAsia="楷体_GB2312" w:cs="Times New Roman"/>
          <w:sz w:val="24"/>
          <w:szCs w:val="24"/>
        </w:rPr>
        <w:t>指与主债权相关的保证债权、抵押权、质押权等附属权利。</w:t>
      </w:r>
    </w:p>
    <w:p>
      <w:pPr>
        <w:snapToGrid w:val="0"/>
        <w:spacing w:line="360" w:lineRule="auto"/>
        <w:ind w:firstLine="470" w:firstLineChars="196"/>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1.3 </w:t>
      </w:r>
      <w:r>
        <w:rPr>
          <w:rFonts w:hint="eastAsia" w:ascii="仿宋_GB2312" w:hAnsi="Times New Roman" w:eastAsia="仿宋_GB2312" w:cs="Times New Roman"/>
          <w:b/>
          <w:sz w:val="24"/>
          <w:szCs w:val="24"/>
        </w:rPr>
        <w:t>贷款债权</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指作为本协议标的的主债权、担保权利以及由此派生或与此相关的其他权益的统称。</w:t>
      </w:r>
    </w:p>
    <w:p>
      <w:pPr>
        <w:snapToGrid w:val="0"/>
        <w:spacing w:line="360" w:lineRule="auto"/>
        <w:ind w:firstLine="470" w:firstLineChars="196"/>
        <w:rPr>
          <w:rFonts w:hint="eastAsia" w:ascii="楷体_GB2312" w:hAnsi="Times New Roman" w:eastAsia="楷体_GB2312" w:cs="Times New Roman"/>
          <w:i w:val="0"/>
          <w:sz w:val="24"/>
          <w:szCs w:val="24"/>
        </w:rPr>
      </w:pPr>
      <w:r>
        <w:rPr>
          <w:rFonts w:hint="eastAsia" w:ascii="楷体_GB2312" w:hAnsi="Times New Roman" w:eastAsia="楷体_GB2312" w:cs="Times New Roman"/>
          <w:i w:val="0"/>
          <w:color w:val="auto"/>
          <w:sz w:val="24"/>
          <w:szCs w:val="24"/>
        </w:rPr>
        <w:t xml:space="preserve">1.4 </w:t>
      </w:r>
      <w:r>
        <w:rPr>
          <w:rFonts w:hint="eastAsia" w:ascii="楷体_GB2312" w:hAnsi="Times New Roman" w:eastAsia="楷体_GB2312" w:cs="Times New Roman"/>
          <w:b w:val="0"/>
          <w:i w:val="0"/>
          <w:color w:val="auto"/>
          <w:sz w:val="24"/>
          <w:szCs w:val="24"/>
        </w:rPr>
        <w:t>转让价款</w:t>
      </w:r>
      <w:r>
        <w:rPr>
          <w:rFonts w:hint="eastAsia" w:ascii="楷体_GB2312" w:hAnsi="Times New Roman" w:eastAsia="楷体_GB2312" w:cs="Times New Roman"/>
          <w:i w:val="0"/>
          <w:color w:val="auto"/>
          <w:sz w:val="24"/>
          <w:szCs w:val="24"/>
        </w:rPr>
        <w:t>：指乙方与拍卖机构签署的《拍卖成交确认书》中确认的乙方应直接支付给甲方的受让贷款债权的价格。</w:t>
      </w:r>
    </w:p>
    <w:p>
      <w:pPr>
        <w:snapToGrid w:val="0"/>
        <w:spacing w:line="360" w:lineRule="auto"/>
        <w:ind w:firstLine="470" w:firstLineChars="196"/>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1.5 </w:t>
      </w:r>
      <w:r>
        <w:rPr>
          <w:rFonts w:hint="eastAsia" w:ascii="仿宋_GB2312" w:hAnsi="Times New Roman" w:eastAsia="仿宋_GB2312" w:cs="Times New Roman"/>
          <w:b/>
          <w:sz w:val="24"/>
          <w:szCs w:val="24"/>
        </w:rPr>
        <w:t>贷款债权证明文件：</w:t>
      </w:r>
      <w:r>
        <w:rPr>
          <w:rFonts w:hint="eastAsia" w:ascii="楷体_GB2312" w:hAnsi="Times New Roman" w:eastAsia="楷体_GB2312" w:cs="Times New Roman"/>
          <w:sz w:val="24"/>
          <w:szCs w:val="24"/>
        </w:rPr>
        <w:t>指甲方在基准日实际持有的、且将于交割日移交给乙方的，与主张和行使贷款债权有关的法律文件（原件或复印件），限于贷款合同、借据、担保合同、抵（质）押担保权利凭证、判决书、调解书、裁定书、和解协议、债务重组协议、以物（股权）抵债协议、抵债资产权属证书或证明、破产债权申报书、逾期贷款催收通知书、甲方与前手权利人的分户债权转让协议、债权转让暨催收公告等（贷款债权中各借款人项下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ascii="楷体_GB2312" w:hAnsi="Times New Roman" w:eastAsia="楷体_GB2312" w:cs="Times New Roman"/>
          <w:sz w:val="24"/>
          <w:szCs w:val="24"/>
        </w:rPr>
      </w:pPr>
      <w:r>
        <w:rPr>
          <w:rFonts w:hint="eastAsia" w:ascii="仿宋_GB2312" w:hAnsi="Times New Roman" w:eastAsia="仿宋_GB2312" w:cs="Times New Roman"/>
          <w:b/>
          <w:sz w:val="24"/>
          <w:szCs w:val="24"/>
        </w:rPr>
        <w:t>1.6 基准日：</w:t>
      </w:r>
      <w:r>
        <w:rPr>
          <w:rFonts w:hint="eastAsia" w:ascii="楷体_GB2312" w:hAnsi="Times New Roman" w:eastAsia="楷体_GB2312" w:cs="Times New Roman"/>
          <w:sz w:val="24"/>
          <w:szCs w:val="24"/>
        </w:rPr>
        <w:t>指甲方确定且为乙方认可的计算贷款债权项下主债权本金、利息余额的截止日，即</w:t>
      </w:r>
      <w:r>
        <w:rPr>
          <w:rFonts w:hint="eastAsia" w:ascii="楷体_GB2312" w:eastAsia="楷体_GB2312" w:cs="Times New Roman"/>
          <w:sz w:val="24"/>
          <w:szCs w:val="24"/>
          <w:u w:val="single"/>
          <w:lang w:val="en-US" w:eastAsia="zh-CN"/>
        </w:rPr>
        <w:t>2020年10月20日</w:t>
      </w:r>
      <w:r>
        <w:rPr>
          <w:rFonts w:hint="eastAsia" w:ascii="楷体_GB2312" w:hAnsi="Times New Roman" w:eastAsia="楷体_GB2312" w:cs="Times New Roman"/>
          <w:sz w:val="24"/>
          <w:szCs w:val="24"/>
        </w:rPr>
        <w:t>。</w:t>
      </w:r>
    </w:p>
    <w:p>
      <w:pPr>
        <w:snapToGrid w:val="0"/>
        <w:spacing w:line="360" w:lineRule="auto"/>
        <w:ind w:left="239" w:leftChars="114" w:firstLine="230" w:firstLineChars="96"/>
        <w:rPr>
          <w:rFonts w:ascii="仿宋_GB2312" w:hAnsi="Times New Roman" w:eastAsia="仿宋_GB2312" w:cs="Times New Roman"/>
          <w:color w:val="000000"/>
          <w:sz w:val="24"/>
          <w:szCs w:val="24"/>
        </w:rPr>
      </w:pPr>
      <w:r>
        <w:rPr>
          <w:rFonts w:hint="eastAsia" w:ascii="仿宋_GB2312" w:hAnsi="Times New Roman" w:eastAsia="仿宋_GB2312" w:cs="Times New Roman"/>
          <w:sz w:val="24"/>
          <w:szCs w:val="24"/>
        </w:rPr>
        <w:t xml:space="preserve">1.7 </w:t>
      </w:r>
      <w:r>
        <w:rPr>
          <w:rFonts w:hint="eastAsia" w:ascii="仿宋_GB2312" w:hAnsi="Times New Roman" w:eastAsia="仿宋_GB2312" w:cs="Times New Roman"/>
          <w:b/>
          <w:sz w:val="24"/>
          <w:szCs w:val="24"/>
        </w:rPr>
        <w:t>报价日：</w:t>
      </w:r>
      <w:r>
        <w:rPr>
          <w:rFonts w:hint="eastAsia" w:ascii="楷体_GB2312" w:hAnsi="Times New Roman" w:eastAsia="楷体_GB2312" w:cs="Times New Roman"/>
          <w:sz w:val="24"/>
          <w:szCs w:val="24"/>
        </w:rPr>
        <w:t>指乙方在</w:t>
      </w:r>
      <w:r>
        <w:rPr>
          <w:rFonts w:hint="eastAsia" w:ascii="楷体_GB2312" w:hAnsi="Times New Roman" w:eastAsia="楷体_GB2312" w:cs="Times New Roman"/>
          <w:i w:val="0"/>
          <w:sz w:val="24"/>
          <w:szCs w:val="24"/>
        </w:rPr>
        <w:t>拍卖</w:t>
      </w:r>
      <w:r>
        <w:rPr>
          <w:rFonts w:hint="eastAsia" w:ascii="楷体_GB2312" w:hAnsi="Times New Roman" w:eastAsia="楷体_GB2312" w:cs="Times New Roman"/>
          <w:sz w:val="24"/>
          <w:szCs w:val="24"/>
        </w:rPr>
        <w:t>活动中所报最高应价的日期，即</w:t>
      </w:r>
      <w:r>
        <w:rPr>
          <w:rFonts w:hint="eastAsia" w:ascii="楷体_GB2312" w:hAnsi="Times New Roman" w:eastAsia="楷体_GB2312" w:cs="Times New Roman"/>
          <w:sz w:val="24"/>
          <w:szCs w:val="24"/>
          <w:u w:val="single"/>
          <w:lang w:val="en-US" w:eastAsia="zh-CN"/>
        </w:rPr>
        <w:t>2020</w:t>
      </w:r>
      <w:r>
        <w:rPr>
          <w:rFonts w:hint="eastAsia" w:ascii="楷体_GB2312" w:hAnsi="Times New Roman" w:eastAsia="楷体_GB2312" w:cs="Times New Roman"/>
          <w:sz w:val="24"/>
          <w:szCs w:val="24"/>
        </w:rPr>
        <w:t>年</w:t>
      </w:r>
      <w:r>
        <w:rPr>
          <w:rFonts w:hint="eastAsia" w:ascii="楷体_GB2312" w:eastAsia="楷体_GB2312" w:cs="Times New Roman"/>
          <w:sz w:val="24"/>
          <w:szCs w:val="24"/>
          <w:u w:val="single"/>
          <w:lang w:val="en-US" w:eastAsia="zh-CN"/>
        </w:rPr>
        <w:t xml:space="preserve">  </w:t>
      </w:r>
      <w:r>
        <w:rPr>
          <w:rFonts w:hint="eastAsia" w:ascii="楷体_GB2312" w:hAnsi="Times New Roman" w:eastAsia="楷体_GB2312" w:cs="Times New Roman"/>
          <w:sz w:val="24"/>
          <w:szCs w:val="24"/>
        </w:rPr>
        <w:t>月</w:t>
      </w:r>
      <w:r>
        <w:rPr>
          <w:rFonts w:hint="eastAsia" w:ascii="楷体_GB2312" w:hAnsi="Times New Roman" w:eastAsia="楷体_GB2312" w:cs="Times New Roman"/>
          <w:sz w:val="24"/>
          <w:szCs w:val="24"/>
          <w:u w:val="single"/>
        </w:rPr>
        <w:t xml:space="preserve">    </w:t>
      </w:r>
      <w:r>
        <w:rPr>
          <w:rFonts w:hint="eastAsia" w:ascii="楷体_GB2312" w:eastAsia="楷体_GB2312" w:cs="Times New Roman"/>
          <w:sz w:val="24"/>
          <w:szCs w:val="24"/>
          <w:u w:val="single"/>
          <w:lang w:val="en-US" w:eastAsia="zh-CN"/>
        </w:rPr>
        <w:t xml:space="preserve"> </w:t>
      </w:r>
      <w:r>
        <w:rPr>
          <w:rFonts w:hint="eastAsia" w:ascii="楷体_GB2312" w:hAnsi="Times New Roman" w:eastAsia="楷体_GB2312" w:cs="Times New Roman"/>
          <w:sz w:val="24"/>
          <w:szCs w:val="24"/>
        </w:rPr>
        <w:t>日。</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1.8 </w:t>
      </w:r>
      <w:r>
        <w:rPr>
          <w:rFonts w:hint="eastAsia" w:ascii="仿宋_GB2312" w:hAnsi="Times New Roman" w:eastAsia="仿宋_GB2312" w:cs="Times New Roman"/>
          <w:b/>
          <w:sz w:val="24"/>
          <w:szCs w:val="24"/>
        </w:rPr>
        <w:t>交割日：</w:t>
      </w:r>
      <w:r>
        <w:rPr>
          <w:rFonts w:hint="eastAsia" w:ascii="楷体_GB2312" w:hAnsi="Times New Roman" w:eastAsia="楷体_GB2312" w:cs="Times New Roman"/>
          <w:sz w:val="24"/>
          <w:szCs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1.9 </w:t>
      </w:r>
      <w:r>
        <w:rPr>
          <w:rFonts w:hint="eastAsia" w:ascii="仿宋_GB2312" w:hAnsi="Times New Roman" w:eastAsia="仿宋_GB2312" w:cs="Times New Roman"/>
          <w:b/>
          <w:sz w:val="24"/>
          <w:szCs w:val="24"/>
        </w:rPr>
        <w:t>过渡期：</w:t>
      </w:r>
      <w:r>
        <w:rPr>
          <w:rFonts w:hint="eastAsia" w:ascii="楷体_GB2312" w:hAnsi="Times New Roman" w:eastAsia="楷体_GB2312" w:cs="Times New Roman"/>
          <w:sz w:val="24"/>
          <w:szCs w:val="24"/>
        </w:rPr>
        <w:t>指自基准日起至交割日止的期间。</w:t>
      </w:r>
    </w:p>
    <w:p>
      <w:pPr>
        <w:snapToGrid w:val="0"/>
        <w:spacing w:line="360" w:lineRule="auto"/>
        <w:ind w:firstLine="470" w:firstLineChars="196"/>
        <w:rPr>
          <w:rFonts w:ascii="楷体_GB2312" w:hAnsi="Times New Roman" w:eastAsia="楷体_GB2312" w:cs="Times New Roman"/>
          <w:sz w:val="24"/>
          <w:szCs w:val="24"/>
          <w:shd w:val="pct10" w:color="auto" w:fill="FFFFFF"/>
        </w:rPr>
      </w:pPr>
      <w:r>
        <w:rPr>
          <w:rFonts w:hint="eastAsia" w:ascii="仿宋_GB2312" w:hAnsi="Times New Roman" w:eastAsia="仿宋_GB2312" w:cs="Times New Roman"/>
          <w:sz w:val="24"/>
          <w:szCs w:val="24"/>
        </w:rPr>
        <w:t xml:space="preserve">1.10 </w:t>
      </w:r>
      <w:r>
        <w:rPr>
          <w:rFonts w:hint="eastAsia" w:ascii="仿宋_GB2312" w:hAnsi="Times New Roman" w:eastAsia="仿宋_GB2312" w:cs="Times New Roman"/>
          <w:b/>
          <w:sz w:val="24"/>
          <w:szCs w:val="24"/>
        </w:rPr>
        <w:t>处置费用：</w:t>
      </w:r>
      <w:r>
        <w:rPr>
          <w:rFonts w:hint="eastAsia" w:ascii="楷体_GB2312" w:hAnsi="Times New Roman" w:eastAsia="楷体_GB2312" w:cs="Times New Roman"/>
          <w:sz w:val="24"/>
          <w:szCs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1.11</w:t>
      </w:r>
      <w:r>
        <w:rPr>
          <w:rFonts w:hint="eastAsia" w:ascii="楷体_GB2312" w:hAnsi="Times New Roman" w:eastAsia="楷体_GB2312" w:cs="Times New Roman"/>
          <w:b/>
          <w:sz w:val="24"/>
          <w:szCs w:val="24"/>
        </w:rPr>
        <w:t>服务</w:t>
      </w:r>
      <w:r>
        <w:rPr>
          <w:rFonts w:ascii="楷体_GB2312" w:hAnsi="Times New Roman" w:eastAsia="楷体_GB2312" w:cs="Times New Roman"/>
          <w:b/>
          <w:sz w:val="24"/>
          <w:szCs w:val="24"/>
        </w:rPr>
        <w:t>协议</w:t>
      </w:r>
      <w:r>
        <w:rPr>
          <w:rFonts w:hint="eastAsia" w:ascii="楷体_GB2312" w:hAnsi="Times New Roman" w:eastAsia="楷体_GB2312" w:cs="Times New Roman"/>
          <w:sz w:val="24"/>
          <w:szCs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w:t>
      </w:r>
      <w:r>
        <w:rPr>
          <w:rFonts w:hint="eastAsia" w:ascii="楷体_GB2312" w:hAnsi="Times New Roman" w:eastAsia="楷体_GB2312" w:cs="Times New Roman"/>
          <w:b/>
          <w:sz w:val="24"/>
          <w:szCs w:val="24"/>
        </w:rPr>
        <w:t>瑕疵</w:t>
      </w:r>
      <w:r>
        <w:rPr>
          <w:rFonts w:hint="eastAsia" w:ascii="楷体_GB2312" w:hAnsi="Times New Roman" w:eastAsia="楷体_GB2312" w:cs="Times New Roman"/>
          <w:sz w:val="24"/>
          <w:szCs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1.13 </w:t>
      </w:r>
      <w:r>
        <w:rPr>
          <w:rFonts w:hint="eastAsia" w:ascii="楷体_GB2312" w:hAnsi="Times New Roman" w:eastAsia="楷体_GB2312" w:cs="Times New Roman"/>
          <w:b/>
          <w:sz w:val="24"/>
          <w:szCs w:val="24"/>
        </w:rPr>
        <w:t>风险</w:t>
      </w:r>
      <w:r>
        <w:rPr>
          <w:rFonts w:hint="eastAsia" w:ascii="楷体_GB2312" w:hAnsi="Times New Roman" w:eastAsia="楷体_GB2312" w:cs="Times New Roman"/>
          <w:sz w:val="24"/>
          <w:szCs w:val="24"/>
        </w:rPr>
        <w:t>：指乙方受让贷款债权后，由于各种主观、客观原因，导致预期利益不能实现的可能性。</w:t>
      </w:r>
    </w:p>
    <w:p>
      <w:pPr>
        <w:snapToGrid w:val="0"/>
        <w:spacing w:line="360" w:lineRule="auto"/>
        <w:ind w:firstLine="472" w:firstLineChars="196"/>
        <w:rPr>
          <w:rFonts w:ascii="仿宋_GB2312" w:hAnsi="Times New Roman" w:eastAsia="仿宋_GB2312" w:cs="Times New Roman"/>
          <w:b/>
          <w:sz w:val="24"/>
          <w:szCs w:val="24"/>
        </w:rPr>
      </w:pPr>
    </w:p>
    <w:p>
      <w:pPr>
        <w:snapToGrid w:val="0"/>
        <w:spacing w:line="360" w:lineRule="auto"/>
        <w:ind w:firstLine="482" w:firstLineChars="200"/>
        <w:rPr>
          <w:rFonts w:ascii="黑体" w:hAnsi="Times New Roman" w:eastAsia="黑体" w:cs="Times New Roman"/>
          <w:b/>
          <w:bCs/>
          <w:sz w:val="24"/>
          <w:szCs w:val="24"/>
        </w:rPr>
      </w:pPr>
      <w:r>
        <w:rPr>
          <w:rFonts w:hint="eastAsia" w:ascii="黑体" w:hAnsi="Times New Roman" w:eastAsia="黑体" w:cs="Times New Roman"/>
          <w:b/>
          <w:sz w:val="24"/>
          <w:szCs w:val="24"/>
        </w:rPr>
        <w:t>第二条  瑕疵和</w:t>
      </w:r>
      <w:r>
        <w:rPr>
          <w:rFonts w:hint="eastAsia" w:ascii="黑体" w:hAnsi="Times New Roman" w:eastAsia="黑体" w:cs="Times New Roman"/>
          <w:b/>
          <w:bCs/>
          <w:sz w:val="24"/>
          <w:szCs w:val="24"/>
        </w:rPr>
        <w:t>风险揭示</w:t>
      </w:r>
    </w:p>
    <w:p>
      <w:pPr>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bCs/>
          <w:color w:val="000000"/>
          <w:sz w:val="24"/>
          <w:szCs w:val="24"/>
        </w:rPr>
        <w:t>2</w:t>
      </w:r>
      <w:r>
        <w:rPr>
          <w:rFonts w:hint="eastAsia" w:ascii="黑体" w:hAnsi="Times New Roman" w:eastAsia="黑体" w:cs="Times New Roman"/>
          <w:color w:val="000000"/>
          <w:sz w:val="24"/>
          <w:szCs w:val="24"/>
        </w:rPr>
        <w:t>.1</w:t>
      </w:r>
      <w:r>
        <w:rPr>
          <w:rFonts w:hint="eastAsia" w:ascii="黑体" w:hAnsi="Times New Roman" w:eastAsia="黑体" w:cs="Times New Roman"/>
          <w:sz w:val="24"/>
          <w:szCs w:val="24"/>
        </w:rPr>
        <w:t>乙方已被告知并完全理解，甲方转让给乙方的贷款债权，存在或可能存在下列瑕疵或风险，</w:t>
      </w:r>
      <w:r>
        <w:rPr>
          <w:rFonts w:hint="eastAsia" w:ascii="黑体" w:hAnsi="Times New Roman" w:eastAsia="黑体" w:cs="Times New Roman"/>
          <w:color w:val="000000"/>
          <w:sz w:val="24"/>
          <w:szCs w:val="24"/>
        </w:rPr>
        <w:t>且因甲方并非贷款债权的原始权利人，甲方无法对其承继的、由任何第三方制作的贷款债权证明文件的真实性、有效性、准确性和完整性提供保证，</w:t>
      </w:r>
      <w:r>
        <w:rPr>
          <w:rFonts w:hint="eastAsia" w:ascii="黑体" w:hAnsi="Times New Roman" w:eastAsia="黑体" w:cs="Times New Roman"/>
          <w:sz w:val="24"/>
          <w:szCs w:val="24"/>
        </w:rPr>
        <w:t>以至于乙方受让贷款债权的预期利益可能无法实现。该等瑕疵或风险包括但不限于下列一项或多项：</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2.1.1贷款债权系不良资产，存在着部分或全部不能回收的风险特性以及清收的困难性；</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2.1.2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t>
      </w:r>
    </w:p>
    <w:p>
      <w:pPr>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2.1.3 贷款债权项下借款人、担保人或其他责任主体可能存在破产、被吊销、被撤销、注销、解散、关闭、歇业、停业、下落不明以及其他主体存续性瑕疵的情形；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2.1.4 贷款债权可能已超过诉讼或执行时效、法定或约定时效或丧失其他相关的期间利益或因其他原因已部分或全部丧失；</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2.1.5 贷款债权项下担保权利可能未生效、无效、消灭或已过保证期间、诉讼或执行时效等情形；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2.1.6 贷款债权证明文件可能存在缺失（不限于原件）、内容冲突等相关情形；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2.1.7 担保物、抵债资产（协议抵债且未办理过户）可能发生灭失、毁损或可能存在欠缴税费、不能办理权属变更手续、不能实际占有或其他减损担保物、抵债资产价值的相关情形；</w:t>
      </w:r>
    </w:p>
    <w:p>
      <w:pPr>
        <w:snapToGrid w:val="0"/>
        <w:spacing w:line="360" w:lineRule="auto"/>
        <w:ind w:right="-86" w:rightChars="-41"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2.1.8涉诉贷款债权可能存在全部或部分败诉、不能变更诉讼（含执行）主体、相关诉讼、执行费用未付等情形，涉诉贷款债权可能在交割前已诉讼终结、执行终结或破产终结。</w:t>
      </w:r>
    </w:p>
    <w:p>
      <w:pPr>
        <w:tabs>
          <w:tab w:val="left" w:pos="992"/>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2.1.9 贷款债权事实上可能已经全部或部分灭失。</w:t>
      </w:r>
    </w:p>
    <w:p>
      <w:pPr>
        <w:tabs>
          <w:tab w:val="left" w:pos="992"/>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2.1.10乙方受让贷款债权后，对该贷款债权在交割日后的利息或罚息请求权，受让方可能无法继续享有。</w:t>
      </w:r>
    </w:p>
    <w:p>
      <w:pPr>
        <w:snapToGrid w:val="0"/>
        <w:spacing w:line="360" w:lineRule="auto"/>
        <w:ind w:firstLine="470" w:firstLineChars="196"/>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2.1.11乙方受让贷款债权后，可能无法享有甲方所享有的国家法律政策规定的各项优惠条件和特殊保护，包括但不限于税收和诉讼方面的优惠和特殊保护。</w:t>
      </w:r>
    </w:p>
    <w:p>
      <w:pPr>
        <w:snapToGrid w:val="0"/>
        <w:spacing w:line="360" w:lineRule="auto"/>
        <w:ind w:firstLine="470" w:firstLineChars="196"/>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2.1.12 尽管甲方已对拟转让债权瑕疵作出上述披露，但该债权仍然存在包括但不限于如下瑕疵，乙方受让贷款债权前，已充分了解甲方告知的下列事实：</w:t>
      </w:r>
    </w:p>
    <w:p>
      <w:pPr>
        <w:snapToGrid w:val="0"/>
        <w:spacing w:line="360" w:lineRule="auto"/>
        <w:ind w:firstLine="470" w:firstLineChars="196"/>
        <w:rPr>
          <w:rFonts w:hint="eastAsia" w:ascii="黑体" w:hAnsi="Times New Roman" w:eastAsia="黑体" w:cs="Times New Roman"/>
          <w:sz w:val="24"/>
          <w:szCs w:val="24"/>
        </w:rPr>
      </w:pPr>
      <w:r>
        <w:rPr>
          <w:rFonts w:hint="eastAsia" w:ascii="黑体" w:eastAsia="黑体"/>
          <w:color w:val="000000"/>
          <w:sz w:val="24"/>
        </w:rPr>
        <w:t>该笔债权由借款人山东宝隆生物降解材料股份有限公司名下房地产提供最高额1200万元的抵押担保，已办理抵押登记，目前抵押房产使用状况不明，可能影响抵押拍卖价款优先受偿，后续清场可能会存在困难。</w:t>
      </w:r>
    </w:p>
    <w:p>
      <w:pPr>
        <w:snapToGrid w:val="0"/>
        <w:spacing w:line="360" w:lineRule="auto"/>
        <w:ind w:firstLine="470" w:firstLineChars="196"/>
        <w:rPr>
          <w:rFonts w:ascii="黑体" w:hAnsi="Times New Roman" w:eastAsia="黑体" w:cs="Times New Roman"/>
          <w:sz w:val="24"/>
          <w:szCs w:val="24"/>
        </w:rPr>
      </w:pPr>
      <w:r>
        <w:rPr>
          <w:rFonts w:hint="eastAsia" w:ascii="黑体" w:hAnsi="Times New Roman" w:eastAsia="黑体" w:cs="Times New Roman"/>
          <w:sz w:val="24"/>
          <w:szCs w:val="24"/>
        </w:rPr>
        <w:t>甲方对上述瑕疵或风险不发表任何判断性结论，由乙方自行作出判断，甲方不承担任何责任。</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乙方进一步确认，其已充分了解并认识上述瑕疵或风险，并经独立慎重判断后作出签署本协议的决定，同意按照现状受让贷款债权，乙方承诺不因上述瑕疵或风险而要求甲方及甲方前手权利人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及甲方前手权利人追偿。</w:t>
      </w:r>
    </w:p>
    <w:p>
      <w:pPr>
        <w:spacing w:line="360" w:lineRule="auto"/>
        <w:ind w:firstLine="482" w:firstLineChars="200"/>
        <w:rPr>
          <w:rFonts w:ascii="仿宋_GB2312" w:hAnsi="Times New Roman" w:eastAsia="仿宋_GB2312" w:cs="Times New Roman"/>
          <w:b/>
          <w:sz w:val="24"/>
          <w:szCs w:val="24"/>
        </w:rPr>
      </w:pPr>
    </w:p>
    <w:p>
      <w:pPr>
        <w:spacing w:line="360" w:lineRule="auto"/>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第三条  贷款债权金额</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3.1  截至基准日，贷款债权账面本金余额为人民币</w:t>
      </w:r>
      <w:r>
        <w:rPr>
          <w:rFonts w:hint="eastAsia" w:ascii="楷体_GB2312" w:eastAsia="楷体_GB2312"/>
          <w:sz w:val="24"/>
        </w:rPr>
        <w:t>捌佰万元整</w:t>
      </w:r>
      <w:r>
        <w:rPr>
          <w:rFonts w:hint="eastAsia" w:ascii="楷体_GB2312" w:hAnsi="Times New Roman" w:eastAsia="楷体_GB2312"/>
          <w:sz w:val="24"/>
        </w:rPr>
        <w:t>（小写：</w:t>
      </w:r>
      <w:r>
        <w:rPr>
          <w:rFonts w:hint="eastAsia" w:ascii="楷体_GB2312" w:eastAsia="楷体_GB2312"/>
          <w:sz w:val="24"/>
        </w:rPr>
        <w:t>8,000,000.00</w:t>
      </w:r>
      <w:r>
        <w:rPr>
          <w:rFonts w:hint="eastAsia" w:ascii="楷体_GB2312" w:hAnsi="Times New Roman" w:eastAsia="楷体_GB2312"/>
          <w:sz w:val="24"/>
        </w:rPr>
        <w:t>元），利息为人民币</w:t>
      </w:r>
      <w:r>
        <w:rPr>
          <w:rFonts w:hint="eastAsia" w:ascii="楷体_GB2312" w:eastAsia="楷体_GB2312"/>
          <w:sz w:val="24"/>
        </w:rPr>
        <w:t>叁佰柒拾捌万肆仟玖佰伍拾肆元玖角陆分</w:t>
      </w:r>
      <w:r>
        <w:rPr>
          <w:rFonts w:hint="eastAsia" w:ascii="楷体_GB2312" w:hAnsi="Times New Roman" w:eastAsia="楷体_GB2312"/>
          <w:sz w:val="24"/>
        </w:rPr>
        <w:t>（小写：</w:t>
      </w:r>
      <w:r>
        <w:rPr>
          <w:rFonts w:hint="eastAsia" w:ascii="楷体_GB2312" w:eastAsia="楷体_GB2312"/>
          <w:sz w:val="24"/>
        </w:rPr>
        <w:t>3,784,954.96</w:t>
      </w:r>
      <w:r>
        <w:rPr>
          <w:rFonts w:hint="eastAsia" w:ascii="楷体_GB2312" w:hAnsi="Times New Roman" w:eastAsia="楷体_GB2312"/>
          <w:sz w:val="24"/>
        </w:rPr>
        <w:t>元）</w:t>
      </w:r>
      <w:r>
        <w:rPr>
          <w:rFonts w:hint="eastAsia" w:ascii="楷体_GB2312" w:hAnsi="Times New Roman" w:eastAsia="楷体_GB2312"/>
          <w:sz w:val="24"/>
          <w:lang w:eastAsia="zh-CN"/>
        </w:rPr>
        <w:t>，债权合计为人民币</w:t>
      </w:r>
      <w:r>
        <w:rPr>
          <w:rFonts w:hint="eastAsia" w:ascii="楷体_GB2312" w:eastAsia="楷体_GB2312"/>
          <w:sz w:val="24"/>
        </w:rPr>
        <w:t>壹仟壹佰柒拾捌万肆仟玖佰伍拾肆元玖角陆分</w:t>
      </w:r>
      <w:r>
        <w:rPr>
          <w:rFonts w:hint="eastAsia" w:ascii="楷体_GB2312" w:hAnsi="Times New Roman" w:eastAsia="楷体_GB2312"/>
          <w:sz w:val="24"/>
          <w:lang w:eastAsia="zh-CN"/>
        </w:rPr>
        <w:t>（小写：</w:t>
      </w:r>
      <w:r>
        <w:rPr>
          <w:rFonts w:hint="eastAsia" w:ascii="楷体_GB2312" w:eastAsia="楷体_GB2312"/>
          <w:sz w:val="24"/>
        </w:rPr>
        <w:t>11,784,954.96</w:t>
      </w:r>
      <w:r>
        <w:rPr>
          <w:rFonts w:hint="eastAsia" w:ascii="楷体_GB2312" w:hAnsi="Times New Roman" w:eastAsia="楷体_GB2312"/>
          <w:sz w:val="24"/>
          <w:lang w:eastAsia="zh-CN"/>
        </w:rPr>
        <w:t>元）</w:t>
      </w:r>
      <w:r>
        <w:rPr>
          <w:rFonts w:hint="eastAsia" w:ascii="楷体_GB2312" w:hAnsi="Times New Roman" w:eastAsia="楷体_GB2312"/>
          <w:sz w:val="24"/>
        </w:rPr>
        <w:t>。</w:t>
      </w:r>
      <w:r>
        <w:rPr>
          <w:rFonts w:hint="eastAsia" w:ascii="楷体_GB2312" w:hAnsi="Times New Roman" w:eastAsia="楷体_GB2312" w:cs="Times New Roman"/>
          <w:sz w:val="24"/>
          <w:szCs w:val="24"/>
        </w:rPr>
        <w:t>贷款债权的具体情况详见本协议附件一（贷款债权明细表）。</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3.2 过渡期内与主债权相关的利息，在相关司法政策允许的前提下，在交割日一并转移给乙方。</w:t>
      </w:r>
    </w:p>
    <w:p>
      <w:pPr>
        <w:tabs>
          <w:tab w:val="left" w:pos="1260"/>
        </w:tabs>
        <w:snapToGrid w:val="0"/>
        <w:spacing w:line="360" w:lineRule="auto"/>
        <w:ind w:right="-87" w:firstLine="480" w:firstLineChars="200"/>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第四条  贷款债权转让</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甲方同意按照本协议约定的条件，向乙方转让贷款债权；乙方同意按照本协议约定的条件，受让贷款债权。在遵守本协议条款和交割条件的前提下，交割后，甲方将自基准日（不含该日）起的权利、权益和利益均转让给乙方。</w:t>
      </w:r>
    </w:p>
    <w:p>
      <w:pPr>
        <w:tabs>
          <w:tab w:val="left" w:pos="1260"/>
        </w:tabs>
        <w:snapToGrid w:val="0"/>
        <w:spacing w:line="360" w:lineRule="auto"/>
        <w:ind w:right="-87" w:firstLine="480" w:firstLineChars="200"/>
        <w:rPr>
          <w:rFonts w:ascii="仿宋_GB2312" w:hAnsi="Times New Roman" w:eastAsia="仿宋_GB2312" w:cs="Times New Roman"/>
          <w:color w:val="000000"/>
          <w:sz w:val="24"/>
          <w:szCs w:val="24"/>
        </w:rPr>
      </w:pPr>
      <w:r>
        <w:rPr>
          <w:rFonts w:hint="eastAsia" w:ascii="楷体_GB2312" w:hAnsi="Times New Roman" w:eastAsia="楷体_GB2312" w:cs="Times New Roman"/>
          <w:sz w:val="24"/>
          <w:szCs w:val="24"/>
        </w:rPr>
        <w:t xml:space="preserve"> </w:t>
      </w:r>
    </w:p>
    <w:p>
      <w:pPr>
        <w:tabs>
          <w:tab w:val="left" w:pos="1260"/>
        </w:tabs>
        <w:snapToGrid w:val="0"/>
        <w:spacing w:line="360" w:lineRule="auto"/>
        <w:ind w:right="-87" w:firstLine="482" w:firstLineChars="200"/>
        <w:rPr>
          <w:rFonts w:ascii="黑体" w:hAnsi="Times New Roman" w:eastAsia="黑体" w:cs="Times New Roman"/>
          <w:color w:val="000000"/>
          <w:sz w:val="24"/>
          <w:szCs w:val="24"/>
        </w:rPr>
      </w:pPr>
      <w:r>
        <w:rPr>
          <w:rFonts w:hint="eastAsia" w:ascii="黑体" w:hAnsi="Times New Roman" w:eastAsia="黑体" w:cs="Times New Roman"/>
          <w:b/>
          <w:color w:val="000000"/>
          <w:sz w:val="24"/>
          <w:szCs w:val="24"/>
        </w:rPr>
        <w:t>第五条  风险转移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交割后，乙方应独立承担该等贷款债权于基准日后发生的或可能发生的任何已知或未知的损失、损害、风险或责任。乙方对此予以认可，乙方承诺对于本协议2.1款的瑕疵或风险，不因任何原因向甲方及甲方前手权利人主张赔偿、回购或要求甲方及甲方前手权利人承担任何责任。</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第六条  转让价款、相关费用及支付方式</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6.1 转让价款</w:t>
      </w:r>
    </w:p>
    <w:p>
      <w:pPr>
        <w:tabs>
          <w:tab w:val="left" w:pos="1260"/>
        </w:tabs>
        <w:snapToGrid w:val="0"/>
        <w:spacing w:line="360" w:lineRule="auto"/>
        <w:ind w:right="-87" w:firstLine="480" w:firstLineChars="200"/>
        <w:rPr>
          <w:rFonts w:ascii="楷体_GB2312" w:hAnsi="Times New Roman" w:eastAsia="楷体_GB2312" w:cs="Times New Roman"/>
          <w:i w:val="0"/>
          <w:sz w:val="24"/>
          <w:szCs w:val="24"/>
        </w:rPr>
      </w:pPr>
      <w:r>
        <w:rPr>
          <w:rFonts w:hint="eastAsia" w:ascii="楷体_GB2312" w:hAnsi="Times New Roman" w:eastAsia="楷体_GB2312" w:cs="Times New Roman"/>
          <w:i w:val="0"/>
          <w:sz w:val="24"/>
          <w:szCs w:val="24"/>
        </w:rPr>
        <w:t>乙方确认，其受让本协议项下贷款债权的转让价款以《拍卖成交确认书》（附件八）载明的拍卖成交的成交价款为准，计人民币</w:t>
      </w:r>
      <w:r>
        <w:rPr>
          <w:rFonts w:ascii="楷体_GB2312" w:hAnsi="Times New Roman" w:eastAsia="楷体_GB2312" w:cs="Times New Roman"/>
          <w:i w:val="0"/>
          <w:sz w:val="24"/>
          <w:szCs w:val="24"/>
          <w:u w:val="single"/>
        </w:rPr>
        <w:t xml:space="preserve">      </w:t>
      </w:r>
      <w:r>
        <w:rPr>
          <w:rFonts w:hint="eastAsia" w:ascii="楷体_GB2312" w:hAnsi="Times New Roman" w:eastAsia="楷体_GB2312" w:cs="Times New Roman"/>
          <w:i w:val="0"/>
          <w:sz w:val="24"/>
          <w:szCs w:val="24"/>
        </w:rPr>
        <w:t>元。</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6.2 履约保证金</w:t>
      </w:r>
    </w:p>
    <w:p>
      <w:pPr>
        <w:tabs>
          <w:tab w:val="left" w:pos="1260"/>
        </w:tabs>
        <w:snapToGrid w:val="0"/>
        <w:spacing w:line="360" w:lineRule="auto"/>
        <w:ind w:right="-87"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 xml:space="preserve">6.2.1 </w:t>
      </w:r>
    </w:p>
    <w:p>
      <w:pPr>
        <w:tabs>
          <w:tab w:val="left" w:pos="1260"/>
        </w:tabs>
        <w:snapToGrid w:val="0"/>
        <w:spacing w:line="360" w:lineRule="auto"/>
        <w:ind w:right="-87"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 xml:space="preserve">为参与本次拍卖活动，乙方已向拍卖机构支付了竞拍（买）保证金人民币     </w:t>
      </w:r>
      <w:r>
        <w:rPr>
          <w:rFonts w:hint="eastAsia" w:ascii="楷体_GB2312" w:eastAsia="楷体_GB2312" w:cs="Times New Roman"/>
          <w:i w:val="0"/>
          <w:color w:val="auto"/>
          <w:sz w:val="24"/>
          <w:szCs w:val="24"/>
          <w:lang w:val="en-US" w:eastAsia="zh-CN"/>
        </w:rPr>
        <w:t>壹佰</w:t>
      </w:r>
      <w:r>
        <w:rPr>
          <w:rFonts w:hint="eastAsia" w:ascii="楷体_GB2312" w:hAnsi="Times New Roman" w:eastAsia="楷体_GB2312" w:cs="Times New Roman"/>
          <w:i w:val="0"/>
          <w:color w:val="auto"/>
          <w:sz w:val="24"/>
          <w:szCs w:val="24"/>
          <w:lang w:eastAsia="zh-CN"/>
        </w:rPr>
        <w:t>万</w:t>
      </w:r>
      <w:r>
        <w:rPr>
          <w:rFonts w:hint="eastAsia" w:ascii="楷体_GB2312" w:hAnsi="Times New Roman" w:eastAsia="楷体_GB2312" w:cs="Times New Roman"/>
          <w:i w:val="0"/>
          <w:color w:val="auto"/>
          <w:sz w:val="24"/>
          <w:szCs w:val="24"/>
        </w:rPr>
        <w:t>元</w:t>
      </w:r>
      <w:r>
        <w:rPr>
          <w:rFonts w:hint="eastAsia" w:ascii="楷体_GB2312" w:eastAsia="楷体_GB2312" w:cs="Times New Roman"/>
          <w:i w:val="0"/>
          <w:color w:val="auto"/>
          <w:sz w:val="24"/>
          <w:szCs w:val="24"/>
          <w:lang w:val="en-US" w:eastAsia="zh-CN"/>
        </w:rPr>
        <w:t>整</w:t>
      </w:r>
      <w:r>
        <w:rPr>
          <w:rFonts w:hint="eastAsia" w:ascii="楷体_GB2312" w:hAnsi="Times New Roman" w:eastAsia="楷体_GB2312" w:cs="Times New Roman"/>
          <w:i w:val="0"/>
          <w:color w:val="auto"/>
          <w:sz w:val="24"/>
          <w:szCs w:val="24"/>
        </w:rPr>
        <w:t>（小写：</w:t>
      </w:r>
      <w:r>
        <w:rPr>
          <w:rFonts w:hint="default" w:ascii="楷体_GB2312" w:eastAsia="楷体_GB2312"/>
          <w:color w:val="auto"/>
          <w:sz w:val="24"/>
        </w:rPr>
        <w:t xml:space="preserve">1,000,000.00 </w:t>
      </w:r>
      <w:r>
        <w:rPr>
          <w:rFonts w:hint="eastAsia" w:ascii="楷体_GB2312" w:hAnsi="Times New Roman" w:eastAsia="楷体_GB2312" w:cs="Times New Roman"/>
          <w:i w:val="0"/>
          <w:color w:val="auto"/>
          <w:sz w:val="24"/>
          <w:szCs w:val="24"/>
          <w:lang w:val="en-US" w:eastAsia="zh-CN"/>
        </w:rPr>
        <w:t>元</w:t>
      </w:r>
      <w:r>
        <w:rPr>
          <w:rFonts w:hint="eastAsia" w:ascii="楷体_GB2312" w:hAnsi="Times New Roman" w:eastAsia="楷体_GB2312" w:cs="Times New Roman"/>
          <w:i w:val="0"/>
          <w:color w:val="auto"/>
          <w:sz w:val="24"/>
          <w:szCs w:val="24"/>
        </w:rPr>
        <w:t>），该竞拍（买）保证金在《拍卖成交确认书》签署之后自动转为乙方与甲方签署本协议的缔约定金（不计利息），在本协议签署后自动转为确保乙方履行本协议项下义务的履约保证金。</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color w:val="auto"/>
          <w:sz w:val="24"/>
          <w:szCs w:val="24"/>
          <w:highlight w:val="none"/>
        </w:rPr>
        <w:t>6.2.2 乙方支付的履约保证金可相应充抵乙方应向甲方支付的</w:t>
      </w:r>
      <w:r>
        <w:rPr>
          <w:rFonts w:hint="eastAsia" w:ascii="楷体_GB2312" w:hAnsi="Times New Roman" w:eastAsia="楷体_GB2312" w:cs="Times New Roman"/>
          <w:color w:val="auto"/>
          <w:sz w:val="24"/>
          <w:szCs w:val="24"/>
          <w:highlight w:val="none"/>
          <w:lang w:val="en-US" w:eastAsia="zh-CN"/>
        </w:rPr>
        <w:t>转让价款</w:t>
      </w:r>
      <w:r>
        <w:rPr>
          <w:rFonts w:hint="eastAsia" w:ascii="楷体_GB2312" w:hAnsi="Times New Roman" w:eastAsia="楷体_GB2312" w:cs="Times New Roman"/>
          <w:color w:val="auto"/>
          <w:sz w:val="24"/>
          <w:szCs w:val="24"/>
          <w:highlight w:val="none"/>
        </w:rPr>
        <w:t>。</w:t>
      </w:r>
      <w:r>
        <w:rPr>
          <w:rFonts w:hint="eastAsia" w:ascii="楷体_GB2312" w:hAnsi="Times New Roman" w:eastAsia="楷体_GB2312" w:cs="Times New Roman"/>
          <w:sz w:val="24"/>
          <w:szCs w:val="24"/>
        </w:rPr>
        <w:t>6.3 转让价款及其他款项的支付</w:t>
      </w:r>
    </w:p>
    <w:p>
      <w:pPr>
        <w:tabs>
          <w:tab w:val="left" w:pos="1260"/>
        </w:tabs>
        <w:snapToGrid w:val="0"/>
        <w:spacing w:line="360" w:lineRule="auto"/>
        <w:ind w:right="-87"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6.3.1 乙方确认乙方将按照《拍卖成交确认书》确定的时间直接向甲方一次性支付第6.1款约定的转让价款，即乙方应在</w:t>
      </w:r>
      <w:r>
        <w:rPr>
          <w:rFonts w:hint="eastAsia" w:ascii="楷体_GB2312" w:hAnsi="Times New Roman" w:eastAsia="楷体_GB2312" w:cs="Times New Roman"/>
          <w:i w:val="0"/>
          <w:color w:val="auto"/>
          <w:sz w:val="24"/>
          <w:szCs w:val="24"/>
          <w:lang w:eastAsia="zh-CN"/>
        </w:rPr>
        <w:t>2</w:t>
      </w:r>
      <w:r>
        <w:rPr>
          <w:rFonts w:hint="eastAsia" w:ascii="楷体_GB2312" w:hAnsi="Times New Roman" w:eastAsia="楷体_GB2312" w:cs="Times New Roman"/>
          <w:i w:val="0"/>
          <w:color w:val="auto"/>
          <w:sz w:val="24"/>
          <w:szCs w:val="24"/>
          <w:lang w:val="en-US" w:eastAsia="zh-CN"/>
        </w:rPr>
        <w:t>020</w:t>
      </w:r>
      <w:r>
        <w:rPr>
          <w:rFonts w:hint="eastAsia" w:ascii="楷体_GB2312" w:hAnsi="Times New Roman" w:eastAsia="楷体_GB2312" w:cs="Times New Roman"/>
          <w:i w:val="0"/>
          <w:color w:val="auto"/>
          <w:sz w:val="24"/>
          <w:szCs w:val="24"/>
        </w:rPr>
        <w:t>年</w:t>
      </w:r>
      <w:r>
        <w:rPr>
          <w:rFonts w:hint="eastAsia" w:ascii="楷体_GB2312" w:eastAsia="楷体_GB2312" w:cs="Times New Roman"/>
          <w:i w:val="0"/>
          <w:color w:val="auto"/>
          <w:sz w:val="24"/>
          <w:szCs w:val="24"/>
          <w:lang w:val="en-US" w:eastAsia="zh-CN"/>
        </w:rPr>
        <w:t xml:space="preserve">  </w:t>
      </w:r>
      <w:r>
        <w:rPr>
          <w:rFonts w:hint="eastAsia" w:ascii="楷体_GB2312" w:hAnsi="Times New Roman" w:eastAsia="楷体_GB2312" w:cs="Times New Roman"/>
          <w:i w:val="0"/>
          <w:color w:val="auto"/>
          <w:sz w:val="24"/>
          <w:szCs w:val="24"/>
        </w:rPr>
        <w:t>月  日前向甲方支付全部转让价款。</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6.4 付款账号</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乙方在</w:t>
      </w:r>
      <w:r>
        <w:rPr>
          <w:rFonts w:ascii="楷体_GB2312" w:hAnsi="Times New Roman" w:eastAsia="楷体_GB2312" w:cs="Times New Roman"/>
          <w:sz w:val="24"/>
          <w:szCs w:val="24"/>
        </w:rPr>
        <w:t>本协议项下</w:t>
      </w:r>
      <w:r>
        <w:rPr>
          <w:rFonts w:hint="eastAsia" w:ascii="楷体_GB2312" w:hAnsi="Times New Roman" w:eastAsia="楷体_GB2312" w:cs="Times New Roman"/>
          <w:sz w:val="24"/>
          <w:szCs w:val="24"/>
        </w:rPr>
        <w:t>应支付的</w:t>
      </w:r>
      <w:r>
        <w:rPr>
          <w:rFonts w:ascii="楷体_GB2312" w:hAnsi="Times New Roman" w:eastAsia="楷体_GB2312" w:cs="Times New Roman"/>
          <w:sz w:val="24"/>
          <w:szCs w:val="24"/>
        </w:rPr>
        <w:t>全部款项</w:t>
      </w:r>
      <w:r>
        <w:rPr>
          <w:rFonts w:hint="eastAsia" w:ascii="楷体_GB2312" w:hAnsi="Times New Roman" w:eastAsia="楷体_GB2312" w:cs="Times New Roman"/>
          <w:sz w:val="24"/>
          <w:szCs w:val="24"/>
        </w:rPr>
        <w:t>以</w:t>
      </w:r>
      <w:r>
        <w:rPr>
          <w:rFonts w:ascii="楷体_GB2312" w:hAnsi="Times New Roman" w:eastAsia="楷体_GB2312" w:cs="Times New Roman"/>
          <w:sz w:val="24"/>
          <w:szCs w:val="24"/>
        </w:rPr>
        <w:t>电汇</w:t>
      </w:r>
      <w:r>
        <w:rPr>
          <w:rFonts w:hint="eastAsia" w:ascii="楷体_GB2312" w:hAnsi="Times New Roman" w:eastAsia="楷体_GB2312" w:cs="Times New Roman"/>
          <w:sz w:val="24"/>
          <w:szCs w:val="24"/>
        </w:rPr>
        <w:t>立即可用资金形式划付</w:t>
      </w:r>
      <w:r>
        <w:rPr>
          <w:rFonts w:ascii="楷体_GB2312" w:hAnsi="Times New Roman" w:eastAsia="楷体_GB2312" w:cs="Times New Roman"/>
          <w:sz w:val="24"/>
          <w:szCs w:val="24"/>
        </w:rPr>
        <w:t>至甲方指定</w:t>
      </w:r>
      <w:r>
        <w:rPr>
          <w:rFonts w:hint="eastAsia" w:ascii="楷体_GB2312" w:hAnsi="Times New Roman" w:eastAsia="楷体_GB2312" w:cs="Times New Roman"/>
          <w:sz w:val="24"/>
          <w:szCs w:val="24"/>
        </w:rPr>
        <w:t>的</w:t>
      </w:r>
      <w:r>
        <w:rPr>
          <w:rFonts w:ascii="楷体_GB2312" w:hAnsi="Times New Roman" w:eastAsia="楷体_GB2312" w:cs="Times New Roman"/>
          <w:sz w:val="24"/>
          <w:szCs w:val="24"/>
        </w:rPr>
        <w:t>下列账户：</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户    名：中国长城资产管理股份有限公司山东省分公司</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开户银行：中国农业银行济南市银河支行</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账    号：15157101040008960</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6.5</w:t>
      </w:r>
      <w:r>
        <w:rPr>
          <w:rFonts w:hint="eastAsia" w:ascii="仿宋_GB2312" w:hAnsi="Times New Roman" w:eastAsia="仿宋_GB2312" w:cs="Times New Roman"/>
          <w:b/>
          <w:sz w:val="24"/>
          <w:szCs w:val="24"/>
        </w:rPr>
        <w:t xml:space="preserve"> 付款金额确认</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第七条  贷款债权的交割</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7.1 交割日的确定</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7.1.1 甲乙双方一致确认，第7.2款约定的交割条件全部成就后的第10个工作日为交割日</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7.1.2 甲方有权在第7.2款规定的交割条件成就后，单方指定一个早于第7.1.1款约定日期的交割日，但应当提前书面通知乙方。</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 交割条件</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在符合下述全部条件的前提下，双方应进行贷款债权的交割：</w:t>
      </w:r>
    </w:p>
    <w:p>
      <w:pPr>
        <w:spacing w:line="360" w:lineRule="auto"/>
        <w:ind w:firstLine="480" w:firstLineChars="200"/>
        <w:rPr>
          <w:rFonts w:hint="eastAsia" w:ascii="楷体_GB2312" w:hAnsi="Times New Roman" w:eastAsia="楷体_GB2312" w:cs="Times New Roman"/>
          <w:i w:val="0"/>
          <w:color w:val="auto"/>
          <w:sz w:val="24"/>
          <w:szCs w:val="24"/>
        </w:rPr>
      </w:pPr>
      <w:r>
        <w:rPr>
          <w:rFonts w:hint="eastAsia" w:ascii="楷体_GB2312" w:hAnsi="Times New Roman" w:eastAsia="楷体_GB2312" w:cs="Times New Roman"/>
          <w:i w:val="0"/>
          <w:color w:val="auto"/>
          <w:sz w:val="24"/>
          <w:szCs w:val="24"/>
        </w:rPr>
        <w:t>7.2.1 甲方已经足额收到乙方直接支付的《拍卖成交确认书》及本协议项下约定的全部价款、以及第10.3款约定的违约金等全部款项，且拍卖机构已经足额收到乙方依据《拍卖成交确认书》应向其支付的拍卖佣金。</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7.2.2 截至交割日，乙方已经在所有重要方面履行并继续履行其在本协议项下约定的交割前的全部承诺或约定。</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7.2.3截至交割日，乙方在本协议项下所作的声明和保证在交割日在所有重要方面是真实准确的，如同该等声明和保证系于交割日作出的一样。</w:t>
      </w:r>
    </w:p>
    <w:p>
      <w:pPr>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7</w:t>
      </w:r>
      <w:r>
        <w:rPr>
          <w:rFonts w:ascii="仿宋_GB2312" w:hAnsi="Times New Roman" w:eastAsia="仿宋_GB2312" w:cs="Times New Roman"/>
          <w:b/>
          <w:color w:val="000000"/>
          <w:sz w:val="24"/>
          <w:szCs w:val="24"/>
        </w:rPr>
        <w:t>.</w:t>
      </w:r>
      <w:r>
        <w:rPr>
          <w:rFonts w:hint="eastAsia" w:ascii="仿宋_GB2312" w:hAnsi="Times New Roman" w:eastAsia="仿宋_GB2312" w:cs="Times New Roman"/>
          <w:b/>
          <w:color w:val="000000"/>
          <w:sz w:val="24"/>
          <w:szCs w:val="24"/>
        </w:rPr>
        <w:t xml:space="preserve">3 </w:t>
      </w:r>
      <w:r>
        <w:rPr>
          <w:rFonts w:ascii="仿宋_GB2312" w:hAnsi="Times New Roman" w:eastAsia="仿宋_GB2312" w:cs="Times New Roman"/>
          <w:b/>
          <w:color w:val="000000"/>
          <w:sz w:val="24"/>
          <w:szCs w:val="24"/>
        </w:rPr>
        <w:t>交割前的准备</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交割前，甲方应向乙方提交一份《回收及费用结算明细表》，列明</w:t>
      </w:r>
      <w:r>
        <w:rPr>
          <w:rFonts w:hint="eastAsia" w:ascii="楷体_GB2312" w:hAnsi="Times New Roman" w:eastAsia="楷体_GB2312" w:cs="Times New Roman"/>
          <w:sz w:val="24"/>
          <w:szCs w:val="24"/>
        </w:rPr>
        <w:t>基准日后对本次交割的贷款债权进行</w:t>
      </w:r>
      <w:r>
        <w:rPr>
          <w:rFonts w:ascii="楷体_GB2312" w:hAnsi="Times New Roman" w:eastAsia="楷体_GB2312" w:cs="Times New Roman"/>
          <w:sz w:val="24"/>
          <w:szCs w:val="24"/>
        </w:rPr>
        <w:t>处置</w:t>
      </w:r>
      <w:r>
        <w:rPr>
          <w:rFonts w:hint="eastAsia" w:ascii="楷体_GB2312" w:hAnsi="Times New Roman" w:eastAsia="楷体_GB2312" w:cs="Times New Roman"/>
          <w:sz w:val="24"/>
          <w:szCs w:val="24"/>
        </w:rPr>
        <w:t>实现的现金及非现金</w:t>
      </w:r>
      <w:r>
        <w:rPr>
          <w:rFonts w:ascii="楷体_GB2312" w:hAnsi="Times New Roman" w:eastAsia="楷体_GB2312" w:cs="Times New Roman"/>
          <w:sz w:val="24"/>
          <w:szCs w:val="24"/>
        </w:rPr>
        <w:t>回收、</w:t>
      </w:r>
      <w:r>
        <w:rPr>
          <w:rFonts w:hint="eastAsia" w:ascii="楷体_GB2312" w:hAnsi="Times New Roman" w:eastAsia="楷体_GB2312" w:cs="Times New Roman"/>
          <w:sz w:val="24"/>
          <w:szCs w:val="24"/>
        </w:rPr>
        <w:t>发生的</w:t>
      </w:r>
      <w:r>
        <w:rPr>
          <w:rFonts w:ascii="楷体_GB2312" w:hAnsi="Times New Roman" w:eastAsia="楷体_GB2312" w:cs="Times New Roman"/>
          <w:sz w:val="24"/>
          <w:szCs w:val="24"/>
        </w:rPr>
        <w:t>处置费用并</w:t>
      </w:r>
      <w:r>
        <w:rPr>
          <w:rFonts w:hint="eastAsia" w:ascii="楷体_GB2312" w:hAnsi="Times New Roman" w:eastAsia="楷体_GB2312" w:cs="Times New Roman"/>
          <w:sz w:val="24"/>
          <w:szCs w:val="24"/>
        </w:rPr>
        <w:t>附相关的证明材料</w:t>
      </w:r>
      <w:r>
        <w:rPr>
          <w:rFonts w:ascii="楷体_GB2312" w:hAnsi="Times New Roman" w:eastAsia="楷体_GB2312" w:cs="Times New Roman"/>
          <w:sz w:val="24"/>
          <w:szCs w:val="24"/>
        </w:rPr>
        <w:t>。</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甲方在过渡期内取得的与主张和行使贷款债权有关的法律文件及相关的服务协议应制作成《贷款债权证明文件补充清单》（见附件四）在交易日一并移交乙方。</w:t>
      </w:r>
    </w:p>
    <w:p>
      <w:pPr>
        <w:spacing w:line="360" w:lineRule="auto"/>
        <w:ind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7.4 贷款债权的交割及贷款债权证明文件的移交</w:t>
      </w:r>
    </w:p>
    <w:p>
      <w:pPr>
        <w:spacing w:line="360" w:lineRule="auto"/>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7.4.1 双方确认，在交割日，贷款债权按照交割日的现状一次性地从甲方转移至乙方。即乙方应无条件接受基准日至交割日贷款债权发生的任何变化。</w:t>
      </w:r>
      <w:r>
        <w:rPr>
          <w:rFonts w:hint="eastAsia" w:ascii="黑体" w:hAnsi="Times New Roman" w:eastAsia="黑体" w:cs="Times New Roman"/>
          <w:bCs/>
          <w:color w:val="000000"/>
          <w:sz w:val="24"/>
          <w:szCs w:val="24"/>
        </w:rPr>
        <w:t>若在过渡期内，甲方对</w:t>
      </w:r>
      <w:r>
        <w:rPr>
          <w:rFonts w:hint="eastAsia" w:ascii="黑体" w:hAnsi="Times New Roman" w:eastAsia="黑体" w:cs="Times New Roman"/>
          <w:color w:val="000000"/>
          <w:sz w:val="24"/>
          <w:szCs w:val="24"/>
        </w:rPr>
        <w:t>贷款债权进行处置实现了现金及非现金回收的，则在交割时甲方应将回收的现金及非现金扣除已发生的处置费用后的余额（不含利息）在交割日后10个工作日内移交给乙方。</w:t>
      </w:r>
    </w:p>
    <w:p>
      <w:pPr>
        <w:spacing w:line="360" w:lineRule="auto"/>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7.4.2</w:t>
      </w:r>
      <w:r>
        <w:rPr>
          <w:rFonts w:hint="eastAsia" w:ascii="黑体" w:hAnsi="Times New Roman" w:eastAsia="黑体" w:cs="Times New Roman"/>
          <w:bCs/>
          <w:sz w:val="24"/>
          <w:szCs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黑体" w:hAnsi="Times New Roman" w:eastAsia="黑体" w:cs="Times New Roman"/>
          <w:sz w:val="24"/>
          <w:szCs w:val="24"/>
        </w:rPr>
        <w:t>该收据一经签署并交付，即无条件地证明甲方在本协议项下的文件（包括但不限于贷款债权证明文件）交付义务已履行完毕。若乙方延迟签发或拒绝签发</w:t>
      </w:r>
      <w:r>
        <w:rPr>
          <w:rFonts w:hint="eastAsia" w:ascii="黑体" w:hAnsi="Times New Roman" w:eastAsia="黑体" w:cs="Times New Roman"/>
          <w:bCs/>
          <w:sz w:val="24"/>
          <w:szCs w:val="24"/>
        </w:rPr>
        <w:t>贷款债权证明文件及服务协议收据的，甲方有权将交割日顺延至乙方</w:t>
      </w:r>
      <w:r>
        <w:rPr>
          <w:rFonts w:hint="eastAsia" w:ascii="黑体" w:hAnsi="Times New Roman" w:eastAsia="黑体" w:cs="Times New Roman"/>
          <w:sz w:val="24"/>
          <w:szCs w:val="24"/>
        </w:rPr>
        <w:t>签发</w:t>
      </w:r>
      <w:r>
        <w:rPr>
          <w:rFonts w:hint="eastAsia" w:ascii="黑体" w:hAnsi="Times New Roman" w:eastAsia="黑体" w:cs="Times New Roman"/>
          <w:bCs/>
          <w:sz w:val="24"/>
          <w:szCs w:val="24"/>
        </w:rPr>
        <w:t>贷款债权证明文件及服务协议收据之日，并在该日向乙方交付贷款债权证明文件及服务协议</w:t>
      </w:r>
      <w:r>
        <w:rPr>
          <w:rFonts w:hint="eastAsia" w:ascii="黑体" w:hAnsi="Times New Roman" w:eastAsia="黑体" w:cs="Times New Roman"/>
          <w:sz w:val="24"/>
          <w:szCs w:val="24"/>
        </w:rPr>
        <w:t>。</w:t>
      </w:r>
    </w:p>
    <w:p>
      <w:pPr>
        <w:spacing w:line="360" w:lineRule="auto"/>
        <w:ind w:firstLine="480" w:firstLineChars="200"/>
        <w:rPr>
          <w:rFonts w:ascii="黑体" w:hAnsi="Times New Roman" w:eastAsia="黑体" w:cs="Times New Roman"/>
          <w:bCs/>
          <w:sz w:val="24"/>
          <w:szCs w:val="24"/>
        </w:rPr>
      </w:pPr>
      <w:r>
        <w:rPr>
          <w:rFonts w:hint="eastAsia" w:ascii="黑体" w:hAnsi="Times New Roman" w:eastAsia="黑体" w:cs="Times New Roman"/>
          <w:bCs/>
          <w:sz w:val="24"/>
          <w:szCs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7.5 交割后的合作</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i w:val="0"/>
          <w:iCs w:val="0"/>
          <w:sz w:val="24"/>
          <w:szCs w:val="24"/>
        </w:rPr>
        <w:t xml:space="preserve">7.5.1 甲乙双方应在贷款债权全部交割后，采取公告通知的方式在           </w:t>
      </w:r>
      <w:r>
        <w:rPr>
          <w:rFonts w:hint="eastAsia" w:ascii="楷体_GB2312" w:hAnsi="Times New Roman" w:eastAsia="楷体_GB2312" w:cs="Times New Roman"/>
          <w:i w:val="0"/>
          <w:iCs w:val="0"/>
          <w:sz w:val="24"/>
          <w:szCs w:val="24"/>
          <w:lang w:val="en-US" w:eastAsia="zh-CN"/>
        </w:rPr>
        <w:t>《山东法制报》</w:t>
      </w:r>
      <w:r>
        <w:rPr>
          <w:rFonts w:hint="eastAsia" w:ascii="楷体_GB2312" w:hAnsi="Times New Roman" w:eastAsia="楷体_GB2312" w:cs="Times New Roman"/>
          <w:sz w:val="24"/>
          <w:szCs w:val="24"/>
        </w:rPr>
        <w:t>上发布贷款债权转让公告，将贷款债权转让给乙方的事实通知债务人、担保人，通知费用由乙方承担。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7.5.3 交割后，必要时甲方可应乙方要求并按照本协议附件六规定的格式逐户出具《债权转让确认函》。</w:t>
      </w:r>
    </w:p>
    <w:p>
      <w:pPr>
        <w:spacing w:line="360" w:lineRule="auto"/>
        <w:ind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7.5.4 交割日后，甲方将根据相关规定，出具必要的债权转移证明文件，配合和协助乙方办理已转让的贷款债权所涉及的诉讼（含执行）主体变更手续</w:t>
      </w:r>
      <w:r>
        <w:rPr>
          <w:rFonts w:hint="eastAsia" w:ascii="黑体" w:hAnsi="Times New Roman" w:eastAsia="黑体" w:cs="Times New Roman"/>
          <w:color w:val="000000"/>
          <w:sz w:val="24"/>
          <w:szCs w:val="24"/>
        </w:rPr>
        <w:t>，但甲方及甲方前手权利人不对是否能够实现变更承担任何责任，乙方亦不得因为不能变更诉讼（含执行）主体而向甲方及甲方前手权利人主张回购该项债权或要求甲方及甲方前手权利人承担赔偿责任。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7.5.5 乙方应当在贷款债权交割后3个月内向甲方提出上述协助义务的请求，乙方逾期未提出申请的，相关风险、责任和法律后果由乙方自行承担，且甲方有权选择不再提供协助义务。除本条另有约定外，甲方在任何时间均无须为履行本条所述协助义务承担任何费用。</w:t>
      </w:r>
    </w:p>
    <w:p>
      <w:pPr>
        <w:spacing w:line="360" w:lineRule="auto"/>
        <w:ind w:firstLine="482" w:firstLineChars="200"/>
        <w:rPr>
          <w:rFonts w:ascii="黑体" w:hAnsi="Times New Roman" w:eastAsia="黑体" w:cs="Times New Roman"/>
          <w:b/>
          <w:bCs/>
          <w:color w:val="000000"/>
          <w:sz w:val="24"/>
          <w:szCs w:val="24"/>
        </w:rPr>
      </w:pPr>
      <w:r>
        <w:rPr>
          <w:rFonts w:hint="eastAsia" w:ascii="黑体" w:hAnsi="Times New Roman" w:eastAsia="黑体" w:cs="Times New Roman"/>
          <w:b/>
          <w:color w:val="000000"/>
          <w:sz w:val="24"/>
          <w:szCs w:val="24"/>
        </w:rPr>
        <w:t xml:space="preserve">7.6 </w:t>
      </w:r>
      <w:r>
        <w:rPr>
          <w:rFonts w:hint="eastAsia" w:ascii="黑体" w:hAnsi="Times New Roman" w:eastAsia="黑体" w:cs="Times New Roman"/>
          <w:b/>
          <w:bCs/>
          <w:color w:val="000000"/>
          <w:sz w:val="24"/>
          <w:szCs w:val="24"/>
        </w:rPr>
        <w:t>服务协议权利义务的转移</w:t>
      </w:r>
    </w:p>
    <w:p>
      <w:pPr>
        <w:spacing w:line="360" w:lineRule="auto"/>
        <w:ind w:firstLine="480" w:firstLineChars="200"/>
        <w:rPr>
          <w:rFonts w:hint="eastAsia" w:ascii="楷体_GB2312" w:hAnsi="Times New Roman" w:eastAsia="楷体_GB2312" w:cs="Times New Roman"/>
          <w:color w:val="auto"/>
          <w:sz w:val="24"/>
          <w:szCs w:val="24"/>
        </w:rPr>
      </w:pPr>
      <w:r>
        <w:rPr>
          <w:rFonts w:hint="eastAsia" w:ascii="楷体_GB2312" w:hAnsi="Times New Roman" w:eastAsia="楷体_GB2312" w:cs="Times New Roman"/>
          <w:i w:val="0"/>
          <w:color w:val="auto"/>
          <w:sz w:val="24"/>
          <w:szCs w:val="24"/>
        </w:rPr>
        <w:t>7.6.1 本协议附件三已列明甲方不存在与相关中介机构签署的服务协议，本协议不涉及服务协议权利义务的转移事宜。</w:t>
      </w:r>
    </w:p>
    <w:p>
      <w:pPr>
        <w:spacing w:line="360" w:lineRule="auto"/>
        <w:ind w:firstLine="480" w:firstLineChars="200"/>
        <w:rPr>
          <w:rFonts w:ascii="黑体" w:hAnsi="Times New Roman" w:eastAsia="黑体" w:cs="Times New Roman"/>
          <w:bCs/>
          <w:i w:val="0"/>
          <w:color w:val="FF0000"/>
          <w:sz w:val="24"/>
          <w:szCs w:val="24"/>
        </w:rPr>
      </w:pPr>
    </w:p>
    <w:p>
      <w:pPr>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 xml:space="preserve">第八条  </w:t>
      </w:r>
      <w:r>
        <w:rPr>
          <w:rFonts w:ascii="仿宋_GB2312" w:hAnsi="Times New Roman" w:eastAsia="仿宋_GB2312" w:cs="Times New Roman"/>
          <w:b/>
          <w:color w:val="000000"/>
          <w:sz w:val="24"/>
          <w:szCs w:val="24"/>
        </w:rPr>
        <w:t>过渡期</w:t>
      </w:r>
      <w:r>
        <w:rPr>
          <w:rFonts w:hint="eastAsia" w:ascii="仿宋_GB2312" w:hAnsi="Times New Roman" w:eastAsia="仿宋_GB2312" w:cs="Times New Roman"/>
          <w:b/>
          <w:color w:val="000000"/>
          <w:sz w:val="24"/>
          <w:szCs w:val="24"/>
        </w:rPr>
        <w:t>贷款</w:t>
      </w:r>
      <w:r>
        <w:rPr>
          <w:rFonts w:ascii="仿宋_GB2312" w:hAnsi="Times New Roman" w:eastAsia="仿宋_GB2312" w:cs="Times New Roman"/>
          <w:b/>
          <w:color w:val="000000"/>
          <w:sz w:val="24"/>
          <w:szCs w:val="24"/>
        </w:rPr>
        <w:t>债权的管理</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pPr>
        <w:spacing w:line="360" w:lineRule="auto"/>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8</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3 本协议生效</w:t>
      </w:r>
      <w:r>
        <w:rPr>
          <w:rFonts w:ascii="楷体_GB2312" w:hAnsi="Times New Roman" w:eastAsia="楷体_GB2312" w:cs="Times New Roman"/>
          <w:sz w:val="24"/>
          <w:szCs w:val="24"/>
        </w:rPr>
        <w:t>日至交割日，甲方可自主决定</w:t>
      </w:r>
      <w:r>
        <w:rPr>
          <w:rFonts w:hint="eastAsia" w:ascii="楷体_GB2312" w:hAnsi="Times New Roman" w:eastAsia="楷体_GB2312" w:cs="Times New Roman"/>
          <w:sz w:val="24"/>
          <w:szCs w:val="24"/>
        </w:rPr>
        <w:t>贷款</w:t>
      </w:r>
      <w:r>
        <w:rPr>
          <w:rFonts w:ascii="楷体_GB2312" w:hAnsi="Times New Roman" w:eastAsia="楷体_GB2312" w:cs="Times New Roman"/>
          <w:sz w:val="24"/>
          <w:szCs w:val="24"/>
        </w:rPr>
        <w:t>债权</w:t>
      </w:r>
      <w:r>
        <w:rPr>
          <w:rFonts w:hint="eastAsia" w:ascii="楷体_GB2312" w:hAnsi="Times New Roman" w:eastAsia="楷体_GB2312" w:cs="Times New Roman"/>
          <w:sz w:val="24"/>
          <w:szCs w:val="24"/>
        </w:rPr>
        <w:t>的</w:t>
      </w:r>
      <w:r>
        <w:rPr>
          <w:rFonts w:ascii="楷体_GB2312" w:hAnsi="Times New Roman" w:eastAsia="楷体_GB2312" w:cs="Times New Roman"/>
          <w:sz w:val="24"/>
          <w:szCs w:val="24"/>
        </w:rPr>
        <w:t>日常维护</w:t>
      </w:r>
      <w:r>
        <w:rPr>
          <w:rFonts w:hint="eastAsia" w:ascii="楷体_GB2312" w:hAnsi="Times New Roman" w:eastAsia="楷体_GB2312" w:cs="Times New Roman"/>
          <w:sz w:val="24"/>
          <w:szCs w:val="24"/>
        </w:rPr>
        <w:t>和管理</w:t>
      </w:r>
      <w:r>
        <w:rPr>
          <w:rFonts w:ascii="楷体_GB2312" w:hAnsi="Times New Roman" w:eastAsia="楷体_GB2312" w:cs="Times New Roman"/>
          <w:sz w:val="24"/>
          <w:szCs w:val="24"/>
        </w:rPr>
        <w:t>工作，</w:t>
      </w:r>
      <w:r>
        <w:rPr>
          <w:rFonts w:hint="eastAsia" w:ascii="楷体_GB2312" w:hAnsi="Times New Roman" w:eastAsia="楷体_GB2312" w:cs="Times New Roman"/>
          <w:sz w:val="24"/>
          <w:szCs w:val="24"/>
        </w:rPr>
        <w:t>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 xml:space="preserve">第九条  </w:t>
      </w:r>
      <w:r>
        <w:rPr>
          <w:rFonts w:ascii="仿宋_GB2312" w:hAnsi="Times New Roman" w:eastAsia="仿宋_GB2312" w:cs="Times New Roman"/>
          <w:b/>
          <w:color w:val="000000"/>
          <w:sz w:val="24"/>
          <w:szCs w:val="24"/>
        </w:rPr>
        <w:t>声明与保证</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9.1甲方的声明和保证</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9.1.1 </w:t>
      </w:r>
      <w:r>
        <w:rPr>
          <w:rFonts w:hint="eastAsia" w:ascii="仿宋_GB2312" w:hAnsi="Times New Roman" w:eastAsia="仿宋_GB2312" w:cs="Times New Roman"/>
          <w:b/>
          <w:sz w:val="24"/>
          <w:szCs w:val="24"/>
        </w:rPr>
        <w:t>签约和履约资格保证</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ascii="楷体_GB2312" w:hAnsi="Times New Roman" w:eastAsia="楷体_GB2312" w:cs="Times New Roman"/>
          <w:sz w:val="24"/>
          <w:szCs w:val="24"/>
        </w:rPr>
      </w:pPr>
      <w:r>
        <w:rPr>
          <w:rFonts w:hint="eastAsia" w:ascii="仿宋_GB2312" w:hAnsi="Times New Roman" w:eastAsia="仿宋_GB2312" w:cs="Times New Roman"/>
          <w:sz w:val="24"/>
          <w:szCs w:val="24"/>
        </w:rPr>
        <w:t xml:space="preserve">9.1.2 </w:t>
      </w:r>
      <w:r>
        <w:rPr>
          <w:rFonts w:hint="eastAsia" w:ascii="仿宋_GB2312" w:hAnsi="Times New Roman" w:eastAsia="仿宋_GB2312" w:cs="Times New Roman"/>
          <w:b/>
          <w:sz w:val="24"/>
          <w:szCs w:val="24"/>
        </w:rPr>
        <w:t>诚信管理的保证</w:t>
      </w:r>
      <w:r>
        <w:rPr>
          <w:rFonts w:hint="eastAsia" w:ascii="仿宋_GB2312" w:hAnsi="Times New Roman" w:eastAsia="仿宋_GB2312" w:cs="Times New Roman"/>
          <w:sz w:val="24"/>
          <w:szCs w:val="24"/>
        </w:rPr>
        <w:t>：</w:t>
      </w:r>
      <w:r>
        <w:rPr>
          <w:rFonts w:hint="eastAsia" w:ascii="楷体_GB2312" w:hAnsi="Times New Roman" w:eastAsia="楷体_GB2312" w:cs="Times New Roman"/>
          <w:sz w:val="24"/>
          <w:szCs w:val="24"/>
        </w:rPr>
        <w:t>自本协议生效日至交割日期间，甲方将严格遵循国家及内部相关规定管理与处置贷款债权，除本协议第八条约定情形外，甲方不采取任何可能妨碍或限制乙方受让贷款债权后权利行使的单方行动。</w:t>
      </w:r>
    </w:p>
    <w:p>
      <w:pPr>
        <w:tabs>
          <w:tab w:val="left" w:pos="1260"/>
        </w:tabs>
        <w:snapToGrid w:val="0"/>
        <w:spacing w:line="360" w:lineRule="auto"/>
        <w:ind w:right="-87"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9.2 乙方的声明和保证</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9.2.1 </w:t>
      </w:r>
      <w:r>
        <w:rPr>
          <w:rFonts w:hint="eastAsia" w:ascii="黑体" w:hAnsi="Times New Roman" w:eastAsia="黑体" w:cs="Times New Roman"/>
          <w:b/>
          <w:sz w:val="24"/>
          <w:szCs w:val="24"/>
        </w:rPr>
        <w:t>签约和履约资格保证：</w:t>
      </w:r>
      <w:r>
        <w:rPr>
          <w:rFonts w:hint="eastAsia" w:ascii="黑体" w:hAnsi="Times New Roman" w:eastAsia="黑体" w:cs="Times New Roman"/>
          <w:sz w:val="24"/>
          <w:szCs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9.2.2</w:t>
      </w:r>
      <w:r>
        <w:rPr>
          <w:rFonts w:hint="eastAsia" w:ascii="黑体" w:hAnsi="Times New Roman" w:eastAsia="黑体" w:cs="Times New Roman"/>
          <w:b/>
          <w:sz w:val="24"/>
          <w:szCs w:val="24"/>
        </w:rPr>
        <w:t xml:space="preserve"> 非欺骗保证：</w:t>
      </w:r>
      <w:r>
        <w:rPr>
          <w:rFonts w:hint="eastAsia" w:ascii="黑体" w:hAnsi="Times New Roman" w:eastAsia="黑体" w:cs="Times New Roman"/>
          <w:sz w:val="24"/>
          <w:szCs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9.2.3</w:t>
      </w:r>
      <w:r>
        <w:rPr>
          <w:rFonts w:hint="eastAsia" w:ascii="黑体" w:hAnsi="Times New Roman" w:eastAsia="黑体" w:cs="Times New Roman"/>
          <w:b/>
          <w:sz w:val="24"/>
          <w:szCs w:val="24"/>
        </w:rPr>
        <w:t>审慎调查和独立判断保证</w:t>
      </w:r>
      <w:r>
        <w:rPr>
          <w:rFonts w:hint="eastAsia" w:ascii="黑体" w:hAnsi="Times New Roman" w:eastAsia="黑体" w:cs="Times New Roman"/>
          <w:sz w:val="24"/>
          <w:szCs w:val="24"/>
        </w:rPr>
        <w:t>：乙方确认，在参与转让活动前已认真审阅了贷款债权证明文件，对贷款债权的现状进行了审慎的调查，</w:t>
      </w:r>
      <w:r>
        <w:rPr>
          <w:rFonts w:hint="eastAsia" w:ascii="黑体" w:hAnsi="Times New Roman" w:eastAsia="黑体" w:cs="Times New Roman"/>
          <w:color w:val="000000"/>
          <w:sz w:val="24"/>
          <w:szCs w:val="24"/>
        </w:rPr>
        <w:t>并自行估计了贷款债权可能的可收回性，</w:t>
      </w:r>
      <w:r>
        <w:rPr>
          <w:rFonts w:hint="eastAsia" w:ascii="黑体" w:hAnsi="Times New Roman" w:eastAsia="黑体" w:cs="Times New Roman"/>
          <w:sz w:val="24"/>
          <w:szCs w:val="24"/>
        </w:rPr>
        <w:t>乙方参与转让活动，即视为已经完全接受并知悉贷款债权</w:t>
      </w:r>
      <w:r>
        <w:rPr>
          <w:rFonts w:hint="eastAsia" w:ascii="黑体" w:hAnsi="Times New Roman" w:eastAsia="黑体" w:cs="Times New Roman"/>
          <w:color w:val="000000"/>
          <w:sz w:val="24"/>
          <w:szCs w:val="24"/>
        </w:rPr>
        <w:t>存在或可能存在的所有风险或瑕疵</w:t>
      </w:r>
      <w:r>
        <w:rPr>
          <w:rFonts w:hint="eastAsia" w:ascii="黑体" w:hAnsi="Times New Roman" w:eastAsia="黑体" w:cs="Times New Roman"/>
          <w:sz w:val="24"/>
          <w:szCs w:val="24"/>
        </w:rPr>
        <w:t>。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9.2.4 </w:t>
      </w:r>
      <w:r>
        <w:rPr>
          <w:rFonts w:hint="eastAsia" w:ascii="黑体" w:hAnsi="Times New Roman" w:eastAsia="黑体" w:cs="Times New Roman"/>
          <w:b/>
          <w:sz w:val="24"/>
          <w:szCs w:val="24"/>
        </w:rPr>
        <w:t>乙方特别承诺</w:t>
      </w:r>
      <w:r>
        <w:rPr>
          <w:rFonts w:hint="eastAsia" w:ascii="黑体" w:hAnsi="Times New Roman" w:eastAsia="黑体" w:cs="Times New Roman"/>
          <w:sz w:val="24"/>
          <w:szCs w:val="24"/>
        </w:rPr>
        <w:t>：</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 xml:space="preserve">9.2.4.2 </w:t>
      </w:r>
      <w:r>
        <w:rPr>
          <w:rFonts w:hint="eastAsia" w:ascii="黑体" w:hAnsi="Times New Roman" w:eastAsia="黑体" w:cs="Times New Roman"/>
          <w:color w:val="000000"/>
          <w:sz w:val="24"/>
          <w:szCs w:val="24"/>
        </w:rPr>
        <w:t>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sz w:val="24"/>
          <w:szCs w:val="24"/>
        </w:rPr>
        <w:t>9.2.4.3 除本协议第10.2款明确规定的以外，乙方保证</w:t>
      </w:r>
      <w:r>
        <w:rPr>
          <w:rFonts w:hint="eastAsia" w:ascii="黑体" w:hAnsi="Times New Roman" w:eastAsia="黑体" w:cs="Times New Roman"/>
          <w:color w:val="000000"/>
          <w:sz w:val="24"/>
          <w:szCs w:val="24"/>
        </w:rPr>
        <w:t>不因任何原因要求甲方及甲方前手权利人对贷款债权进行回购，赔偿或要求甲方及甲方前手权利人承担任何责任。</w:t>
      </w:r>
    </w:p>
    <w:p>
      <w:pPr>
        <w:tabs>
          <w:tab w:val="left" w:pos="1260"/>
        </w:tabs>
        <w:snapToGrid w:val="0"/>
        <w:spacing w:line="360" w:lineRule="auto"/>
        <w:ind w:right="-87" w:firstLine="480" w:firstLineChars="200"/>
        <w:rPr>
          <w:rFonts w:ascii="黑体" w:hAnsi="Times New Roman" w:eastAsia="黑体" w:cs="Times New Roman"/>
          <w:b/>
          <w:bCs/>
          <w:sz w:val="24"/>
          <w:szCs w:val="24"/>
        </w:rPr>
      </w:pPr>
      <w:r>
        <w:rPr>
          <w:rFonts w:hint="eastAsia" w:ascii="黑体" w:hAnsi="Times New Roman" w:eastAsia="黑体" w:cs="Times New Roman"/>
          <w:bCs/>
          <w:sz w:val="24"/>
          <w:szCs w:val="24"/>
        </w:rPr>
        <w:t>9.2.5</w:t>
      </w:r>
      <w:r>
        <w:rPr>
          <w:rFonts w:hint="eastAsia" w:ascii="黑体" w:hAnsi="Times New Roman" w:eastAsia="黑体" w:cs="Times New Roman"/>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或执行时效、贷款债权灭失或贷款债权项下担保权利过保证期间、诉讼或执行时效、担保无效或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bCs/>
          <w:sz w:val="24"/>
          <w:szCs w:val="24"/>
        </w:rPr>
        <w:t>9.2.6</w:t>
      </w:r>
      <w:r>
        <w:rPr>
          <w:rFonts w:hint="eastAsia" w:ascii="黑体" w:hAnsi="Times New Roman" w:eastAsia="黑体" w:cs="Times New Roman"/>
          <w:b/>
          <w:bCs/>
          <w:sz w:val="24"/>
          <w:szCs w:val="24"/>
        </w:rPr>
        <w:t xml:space="preserve"> 依法行使权利保证</w:t>
      </w:r>
      <w:r>
        <w:rPr>
          <w:rFonts w:hint="eastAsia" w:ascii="黑体" w:hAnsi="Times New Roman" w:eastAsia="黑体" w:cs="Times New Roman"/>
          <w:sz w:val="24"/>
          <w:szCs w:val="24"/>
        </w:rPr>
        <w:t>：乙方保证在贷款债权交割后，严格按照相关法律、法规、政策的规定，主张和行使贷款债权项下的任何权利，</w:t>
      </w:r>
      <w:r>
        <w:rPr>
          <w:rFonts w:hint="eastAsia" w:ascii="黑体" w:hAnsi="Times New Roman" w:eastAsia="黑体" w:cs="Times New Roman"/>
          <w:color w:val="000000"/>
          <w:sz w:val="24"/>
          <w:szCs w:val="24"/>
        </w:rPr>
        <w:t>因乙方违法行使权利导致甲方利益受损的，乙方将赔偿甲方的全部损失以及因此所支付的费用。</w:t>
      </w:r>
    </w:p>
    <w:p>
      <w:pPr>
        <w:tabs>
          <w:tab w:val="left" w:pos="1260"/>
        </w:tabs>
        <w:snapToGrid w:val="0"/>
        <w:spacing w:line="360" w:lineRule="auto"/>
        <w:ind w:right="-87" w:firstLine="480" w:firstLineChars="200"/>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第十条  违约责任</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10.1 </w:t>
      </w:r>
      <w:r>
        <w:rPr>
          <w:rFonts w:ascii="楷体_GB2312" w:hAnsi="Times New Roman" w:eastAsia="楷体_GB2312" w:cs="Times New Roman"/>
          <w:sz w:val="24"/>
          <w:szCs w:val="24"/>
        </w:rPr>
        <w:t>本协议生效后，甲、乙</w:t>
      </w:r>
      <w:r>
        <w:rPr>
          <w:rFonts w:hint="eastAsia" w:ascii="楷体_GB2312" w:hAnsi="Times New Roman" w:eastAsia="楷体_GB2312" w:cs="Times New Roman"/>
          <w:sz w:val="24"/>
          <w:szCs w:val="24"/>
        </w:rPr>
        <w:t>双</w:t>
      </w:r>
      <w:r>
        <w:rPr>
          <w:rFonts w:ascii="楷体_GB2312" w:hAnsi="Times New Roman" w:eastAsia="楷体_GB2312"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hint="eastAsia" w:ascii="楷体_GB2312" w:hAnsi="Times New Roman" w:eastAsia="楷体_GB2312" w:cs="Times New Roman"/>
          <w:sz w:val="24"/>
          <w:szCs w:val="24"/>
        </w:rPr>
        <w:t>直接</w:t>
      </w:r>
      <w:r>
        <w:rPr>
          <w:rFonts w:ascii="楷体_GB2312" w:hAnsi="Times New Roman" w:eastAsia="楷体_GB2312" w:cs="Times New Roman"/>
          <w:sz w:val="24"/>
          <w:szCs w:val="24"/>
        </w:rPr>
        <w:t>损失</w:t>
      </w:r>
      <w:r>
        <w:rPr>
          <w:rFonts w:hint="eastAsia" w:ascii="楷体_GB2312" w:hAnsi="Times New Roman" w:eastAsia="楷体_GB2312" w:cs="Times New Roman"/>
          <w:sz w:val="24"/>
          <w:szCs w:val="24"/>
        </w:rPr>
        <w:t>和合理费用损失</w:t>
      </w:r>
      <w:r>
        <w:rPr>
          <w:rFonts w:ascii="楷体_GB2312" w:hAnsi="Times New Roman" w:eastAsia="楷体_GB2312" w:cs="Times New Roman"/>
          <w:sz w:val="24"/>
          <w:szCs w:val="24"/>
        </w:rPr>
        <w:t>。</w:t>
      </w:r>
    </w:p>
    <w:p>
      <w:pPr>
        <w:spacing w:line="360" w:lineRule="auto"/>
        <w:ind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10.2 甲方的违约责任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除本协议另有约定外，甲方违反本协议</w:t>
      </w:r>
      <w:r>
        <w:rPr>
          <w:rFonts w:hint="eastAsia" w:ascii="黑体" w:eastAsia="黑体"/>
          <w:color w:val="000000"/>
          <w:sz w:val="24"/>
        </w:rPr>
        <w:t>9.1.1</w:t>
      </w:r>
      <w:r>
        <w:rPr>
          <w:rFonts w:hint="eastAsia" w:ascii="黑体" w:hAnsi="Times New Roman" w:eastAsia="黑体" w:cs="Times New Roman"/>
          <w:color w:val="000000"/>
          <w:sz w:val="24"/>
          <w:szCs w:val="24"/>
        </w:rPr>
        <w:t>义务，经乙方催告后在合理期间内未能补救或无法补救，而致使乙方在交割日后不能主张贷款债权的，甲方应按照该部分贷款债权占转让贷款债权比例所对应转让价款的20%向乙方予以退还。</w:t>
      </w:r>
    </w:p>
    <w:p>
      <w:pPr>
        <w:tabs>
          <w:tab w:val="left" w:pos="1260"/>
        </w:tabs>
        <w:snapToGrid w:val="0"/>
        <w:spacing w:line="360" w:lineRule="auto"/>
        <w:ind w:right="-87" w:firstLine="482" w:firstLineChars="200"/>
        <w:rPr>
          <w:rFonts w:ascii="黑体" w:hAnsi="Times New Roman" w:eastAsia="黑体" w:cs="Times New Roman"/>
          <w:b/>
          <w:sz w:val="24"/>
          <w:szCs w:val="24"/>
        </w:rPr>
      </w:pPr>
      <w:r>
        <w:rPr>
          <w:rFonts w:hint="eastAsia" w:ascii="黑体" w:hAnsi="Times New Roman" w:eastAsia="黑体" w:cs="Times New Roman"/>
          <w:b/>
          <w:sz w:val="24"/>
          <w:szCs w:val="24"/>
        </w:rPr>
        <w:t>10.3 乙方的违约责任</w:t>
      </w:r>
    </w:p>
    <w:p>
      <w:pPr>
        <w:tabs>
          <w:tab w:val="left" w:pos="1260"/>
        </w:tabs>
        <w:snapToGrid w:val="0"/>
        <w:spacing w:line="360" w:lineRule="auto"/>
        <w:ind w:right="-87" w:firstLine="480" w:firstLineChars="200"/>
        <w:rPr>
          <w:rFonts w:ascii="黑体" w:hAnsi="Times New Roman" w:eastAsia="黑体" w:cs="Times New Roman"/>
          <w:color w:val="000000"/>
          <w:sz w:val="24"/>
          <w:szCs w:val="24"/>
        </w:rPr>
      </w:pPr>
      <w:r>
        <w:rPr>
          <w:rFonts w:hint="eastAsia" w:ascii="黑体" w:hAnsi="Times New Roman" w:eastAsia="黑体" w:cs="Times New Roman"/>
          <w:color w:val="000000"/>
          <w:sz w:val="24"/>
          <w:szCs w:val="24"/>
        </w:rPr>
        <w:t>10.3.1 乙方违反付款义务，未能按时足额支付相应款项的，甲方除扣收乙方缴纳履约保证金外，还有权选择：（a）解除协议，履约保证金不足以弥补甲方损失的，乙方仍应承担损失赔偿责任，</w:t>
      </w:r>
      <w:r>
        <w:rPr>
          <w:rFonts w:hint="eastAsia" w:ascii="黑体" w:hAnsi="Times New Roman" w:eastAsia="黑体" w:cs="Times New Roman"/>
          <w:sz w:val="24"/>
          <w:szCs w:val="24"/>
        </w:rPr>
        <w:t>如甲方委托中介机构将本协议项下的贷款债权再行转让的，乙方除应当支付第一次转让活动中甲、乙双方应当支付的佣金，还应当补足再行转让价款低于本协议约定转让价款的差额</w:t>
      </w:r>
      <w:r>
        <w:rPr>
          <w:rFonts w:hint="eastAsia" w:ascii="黑体" w:hAnsi="Times New Roman" w:eastAsia="黑体" w:cs="Times New Roman"/>
          <w:color w:val="000000"/>
          <w:sz w:val="24"/>
          <w:szCs w:val="24"/>
        </w:rPr>
        <w:t>；（b）要求乙方继续履行协议，对于逾期款项，每逾期一日，乙方还应按应付未付款项的万分之</w:t>
      </w:r>
      <w:r>
        <w:rPr>
          <w:rFonts w:hint="eastAsia" w:ascii="黑体" w:hAnsi="Times New Roman" w:eastAsia="黑体" w:cs="Times New Roman"/>
          <w:color w:val="000000"/>
          <w:sz w:val="24"/>
          <w:szCs w:val="24"/>
          <w:u w:val="single"/>
        </w:rPr>
        <w:t>五</w:t>
      </w:r>
      <w:r>
        <w:rPr>
          <w:rFonts w:hint="eastAsia" w:ascii="黑体" w:hAnsi="Times New Roman" w:eastAsia="黑体" w:cs="Times New Roman"/>
          <w:color w:val="000000"/>
          <w:sz w:val="24"/>
          <w:szCs w:val="24"/>
        </w:rPr>
        <w:t>向甲方支付违约金。</w:t>
      </w:r>
    </w:p>
    <w:p>
      <w:pPr>
        <w:tabs>
          <w:tab w:val="left" w:pos="1260"/>
        </w:tabs>
        <w:snapToGrid w:val="0"/>
        <w:spacing w:line="360" w:lineRule="auto"/>
        <w:ind w:right="-87"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 xml:space="preserve"> 10.3.2  乙方违反本协议约定的声明和保证或其它义务，甲方有权解除本协议，并扣收履约保证金，若履约保证金不足以弥补甲方损失的，乙方还应承担损失赔偿责任。</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第十一条    保密</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 保密义务因以下情形而免除：</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11.2.1 保密信息非因保密义务人违约而公开；</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11.2.2 在诉讼、仲裁或者配合政府行政执法等活动中依法知悉或者披露的；</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11.2.3应主管、监管的部门要求披露或报告的。</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11.3 任何一方违反本条约定的保密义务，给对方造成损失的，均应承担相应的赔偿责任，其中，甲方因对方违反保密义务可获得的赔偿金额以本协议第三条所列贷款债权本金余额为限。</w:t>
      </w:r>
    </w:p>
    <w:p>
      <w:pPr>
        <w:tabs>
          <w:tab w:val="left" w:pos="1260"/>
        </w:tabs>
        <w:snapToGrid w:val="0"/>
        <w:spacing w:line="360" w:lineRule="auto"/>
        <w:ind w:right="-87" w:firstLine="482" w:firstLineChars="200"/>
        <w:rPr>
          <w:rFonts w:ascii="仿宋_GB2312" w:hAnsi="Times New Roman" w:eastAsia="仿宋_GB2312" w:cs="Times New Roman"/>
          <w:b/>
          <w:color w:val="000000"/>
          <w:sz w:val="24"/>
          <w:szCs w:val="24"/>
        </w:rPr>
      </w:pP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第十</w:t>
      </w:r>
      <w:r>
        <w:rPr>
          <w:rFonts w:hint="eastAsia" w:ascii="Times New Roman" w:hAnsi="Times New Roman" w:eastAsia="仿宋_GB2312" w:cs="Times New Roman"/>
          <w:b/>
          <w:color w:val="000000"/>
          <w:sz w:val="24"/>
          <w:szCs w:val="24"/>
        </w:rPr>
        <w:t>二</w:t>
      </w:r>
      <w:r>
        <w:rPr>
          <w:rFonts w:ascii="Times New Roman" w:hAnsi="Times New Roman" w:eastAsia="仿宋_GB2312" w:cs="Times New Roman"/>
          <w:b/>
          <w:color w:val="000000"/>
          <w:sz w:val="24"/>
          <w:szCs w:val="24"/>
        </w:rPr>
        <w:t>条 争议解决</w:t>
      </w:r>
      <w:r>
        <w:rPr>
          <w:rFonts w:hint="eastAsia" w:ascii="Times New Roman" w:hAnsi="Times New Roman" w:eastAsia="仿宋_GB2312" w:cs="Times New Roman"/>
          <w:b/>
          <w:color w:val="000000"/>
          <w:sz w:val="24"/>
          <w:szCs w:val="24"/>
        </w:rPr>
        <w:t>及</w:t>
      </w:r>
      <w:r>
        <w:rPr>
          <w:rFonts w:ascii="Times New Roman" w:hAnsi="Times New Roman" w:eastAsia="仿宋_GB2312" w:cs="Times New Roman"/>
          <w:b/>
          <w:color w:val="000000"/>
          <w:sz w:val="24"/>
          <w:szCs w:val="24"/>
        </w:rPr>
        <w:t>法律适用</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就本协议的解释和履行发生的任何争议，应通过友好协商解决。未能通过友好协商解决的争议，</w:t>
      </w: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选择向甲方所在地的人民法院提起诉讼。</w:t>
      </w:r>
    </w:p>
    <w:p>
      <w:pPr>
        <w:spacing w:line="360" w:lineRule="auto"/>
        <w:ind w:firstLine="480" w:firstLineChars="200"/>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第十三条  不可抗力</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13.1  本协议所指不可抗力系指：地震、风暴、水灾、战争、暴乱等任何一方无法预见、无法控制和无法避免的情况。</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hint="eastAsia" w:ascii="楷体_GB2312" w:hAnsi="Times New Roman" w:eastAsia="楷体_GB2312" w:cs="Times New Roman"/>
          <w:sz w:val="24"/>
          <w:szCs w:val="24"/>
          <w:u w:val="single"/>
          <w:lang w:val="en-US" w:eastAsia="zh-CN"/>
        </w:rPr>
        <w:t>5</w:t>
      </w:r>
      <w:r>
        <w:rPr>
          <w:rFonts w:hint="eastAsia" w:ascii="楷体_GB2312" w:hAnsi="Times New Roman" w:eastAsia="楷体_GB2312" w:cs="Times New Roman"/>
          <w:sz w:val="24"/>
          <w:szCs w:val="24"/>
        </w:rPr>
        <w:t>日内书面通知对方，并向对方提供发生不可抗力和其持续期的适当证明，并应尽其最大努力终止不可抗力事件或减少其影响。</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13.3 不可抗力事件结束后，双方应立即磋商以寻求一个公平的解决方法，并应尽所有合理努力以减轻不可抗力的影响。</w:t>
      </w:r>
    </w:p>
    <w:p>
      <w:pPr>
        <w:spacing w:line="360" w:lineRule="auto"/>
        <w:rPr>
          <w:rFonts w:ascii="仿宋_GB2312" w:hAnsi="Times New Roman" w:eastAsia="仿宋_GB2312" w:cs="Times New Roman"/>
          <w:sz w:val="24"/>
          <w:szCs w:val="24"/>
        </w:rPr>
      </w:pP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第十四条  通知和通讯</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4</w:t>
      </w:r>
      <w:r>
        <w:rPr>
          <w:rFonts w:ascii="Times New Roman" w:hAnsi="Times New Roman" w:eastAsia="仿宋_GB2312" w:cs="Times New Roman"/>
          <w:b/>
          <w:color w:val="000000"/>
          <w:sz w:val="24"/>
          <w:szCs w:val="24"/>
        </w:rPr>
        <w:t xml:space="preserve">.1 </w:t>
      </w:r>
      <w:r>
        <w:rPr>
          <w:rFonts w:hint="eastAsia" w:ascii="Times New Roman" w:hAnsi="Times New Roman" w:eastAsia="仿宋_GB2312" w:cs="Times New Roman"/>
          <w:b/>
          <w:color w:val="000000"/>
          <w:sz w:val="24"/>
          <w:szCs w:val="24"/>
        </w:rPr>
        <w:t>本协议项下双方的任何通知均应以书面形式作出，以专人送达、挂号信件或传真方式递送。本条列明的联络方法为双方约定的司法送达地址。</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hint="eastAsia" w:ascii="Times New Roman" w:hAnsi="Times New Roman" w:eastAsia="仿宋_GB2312" w:cs="Times New Roman"/>
          <w:b/>
          <w:color w:val="000000"/>
          <w:sz w:val="24"/>
          <w:szCs w:val="24"/>
        </w:rPr>
        <w:t>14.2</w:t>
      </w:r>
      <w:r>
        <w:rPr>
          <w:rFonts w:ascii="Times New Roman" w:hAnsi="Times New Roman" w:eastAsia="仿宋_GB2312" w:cs="Times New Roman"/>
          <w:b/>
          <w:color w:val="000000"/>
          <w:sz w:val="24"/>
          <w:szCs w:val="24"/>
        </w:rPr>
        <w:t>甲方的联络方法</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地    址：</w:t>
      </w:r>
      <w:r>
        <w:rPr>
          <w:rFonts w:hint="eastAsia" w:ascii="楷体_GB2312" w:hAnsi="Times New Roman" w:eastAsia="楷体_GB2312" w:cs="Times New Roman"/>
          <w:sz w:val="24"/>
          <w:szCs w:val="24"/>
        </w:rPr>
        <w:t>济南市市中区经七路168号银河大厦</w:t>
      </w:r>
    </w:p>
    <w:p>
      <w:pPr>
        <w:spacing w:line="500" w:lineRule="exact"/>
        <w:ind w:firstLine="480" w:firstLineChars="200"/>
        <w:rPr>
          <w:rFonts w:hint="eastAsia" w:ascii="楷体_GB2312" w:hAnsi="Times New Roman" w:eastAsia="楷体_GB2312" w:cs="Times New Roman"/>
          <w:sz w:val="24"/>
          <w:szCs w:val="24"/>
          <w:lang w:val="en-US" w:eastAsia="zh-CN"/>
        </w:rPr>
      </w:pPr>
      <w:r>
        <w:rPr>
          <w:rFonts w:ascii="楷体_GB2312" w:hAnsi="Times New Roman" w:eastAsia="楷体_GB2312" w:cs="Times New Roman"/>
          <w:sz w:val="24"/>
          <w:szCs w:val="24"/>
        </w:rPr>
        <w:t>邮    编：</w:t>
      </w:r>
      <w:r>
        <w:rPr>
          <w:rFonts w:hint="eastAsia" w:ascii="楷体_GB2312" w:hAnsi="Times New Roman" w:eastAsia="楷体_GB2312" w:cs="Times New Roman"/>
          <w:sz w:val="24"/>
          <w:szCs w:val="24"/>
        </w:rPr>
        <w:t xml:space="preserve">250001                        </w:t>
      </w:r>
      <w:r>
        <w:rPr>
          <w:rFonts w:ascii="楷体_GB2312" w:hAnsi="Times New Roman" w:eastAsia="楷体_GB2312" w:cs="Times New Roman"/>
          <w:sz w:val="24"/>
          <w:szCs w:val="24"/>
        </w:rPr>
        <w:t>电    话：</w:t>
      </w:r>
      <w:r>
        <w:rPr>
          <w:rFonts w:hint="eastAsia" w:ascii="楷体_GB2312" w:hAnsi="Times New Roman" w:eastAsia="楷体_GB2312" w:cs="Times New Roman"/>
          <w:sz w:val="24"/>
          <w:szCs w:val="24"/>
          <w:lang w:val="en-US" w:eastAsia="zh-CN"/>
        </w:rPr>
        <w:t>0531-82079869</w:t>
      </w:r>
    </w:p>
    <w:p>
      <w:pPr>
        <w:spacing w:line="500" w:lineRule="exact"/>
        <w:ind w:firstLine="480" w:firstLineChars="200"/>
        <w:rPr>
          <w:rFonts w:hint="default" w:ascii="楷体_GB2312" w:hAnsi="Times New Roman" w:eastAsia="楷体_GB2312" w:cs="Times New Roman"/>
          <w:sz w:val="24"/>
          <w:szCs w:val="24"/>
          <w:lang w:val="en-US" w:eastAsia="zh-CN"/>
        </w:rPr>
      </w:pPr>
      <w:r>
        <w:rPr>
          <w:rFonts w:ascii="楷体_GB2312" w:hAnsi="Times New Roman" w:eastAsia="楷体_GB2312" w:cs="Times New Roman"/>
          <w:sz w:val="24"/>
          <w:szCs w:val="24"/>
        </w:rPr>
        <w:t>传    真：</w:t>
      </w:r>
      <w:r>
        <w:rPr>
          <w:rFonts w:hint="eastAsia" w:ascii="楷体_GB2312" w:hAnsi="Times New Roman" w:eastAsia="楷体_GB2312" w:cs="Times New Roman"/>
          <w:sz w:val="24"/>
          <w:szCs w:val="24"/>
          <w:lang w:val="en-US" w:eastAsia="zh-CN"/>
        </w:rPr>
        <w:t>0531-82079799</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 xml:space="preserve">联 系 人： </w:t>
      </w:r>
      <w:r>
        <w:rPr>
          <w:rFonts w:hint="eastAsia" w:ascii="楷体_GB2312" w:eastAsia="楷体_GB2312" w:cs="Times New Roman"/>
          <w:sz w:val="24"/>
          <w:szCs w:val="24"/>
          <w:lang w:val="en-US" w:eastAsia="zh-CN"/>
        </w:rPr>
        <w:t>于超禄</w:t>
      </w: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1</w:t>
      </w:r>
      <w:r>
        <w:rPr>
          <w:rFonts w:hint="eastAsia" w:ascii="Times New Roman" w:hAnsi="Times New Roman" w:eastAsia="仿宋_GB2312" w:cs="Times New Roman"/>
          <w:b/>
          <w:color w:val="000000"/>
          <w:sz w:val="24"/>
          <w:szCs w:val="24"/>
        </w:rPr>
        <w:t>4</w:t>
      </w:r>
      <w:r>
        <w:rPr>
          <w:rFonts w:ascii="Times New Roman" w:hAnsi="Times New Roman" w:eastAsia="仿宋_GB2312" w:cs="Times New Roman"/>
          <w:b/>
          <w:color w:val="000000"/>
          <w:sz w:val="24"/>
          <w:szCs w:val="24"/>
        </w:rPr>
        <w:t>.</w:t>
      </w:r>
      <w:r>
        <w:rPr>
          <w:rFonts w:hint="eastAsia" w:ascii="Times New Roman" w:hAnsi="Times New Roman" w:eastAsia="仿宋_GB2312" w:cs="Times New Roman"/>
          <w:b/>
          <w:color w:val="000000"/>
          <w:sz w:val="24"/>
          <w:szCs w:val="24"/>
        </w:rPr>
        <w:t>3</w:t>
      </w:r>
      <w:r>
        <w:rPr>
          <w:rFonts w:ascii="Times New Roman" w:hAnsi="Times New Roman" w:eastAsia="仿宋_GB2312" w:cs="Times New Roman"/>
          <w:b/>
          <w:color w:val="000000"/>
          <w:sz w:val="24"/>
          <w:szCs w:val="24"/>
        </w:rPr>
        <w:t xml:space="preserve"> 乙方的联络方法</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地    址：</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邮    编：</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电    话：</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传    真：</w:t>
      </w:r>
      <w:r>
        <w:rPr>
          <w:rFonts w:hint="eastAsia" w:ascii="楷体_GB2312" w:hAnsi="Times New Roman" w:eastAsia="楷体_GB2312" w:cs="Times New Roman"/>
          <w:sz w:val="24"/>
          <w:szCs w:val="24"/>
        </w:rPr>
        <w:t xml:space="preserve">                               </w:t>
      </w:r>
      <w:r>
        <w:rPr>
          <w:rFonts w:ascii="楷体_GB2312" w:hAnsi="Times New Roman" w:eastAsia="楷体_GB2312" w:cs="Times New Roman"/>
          <w:sz w:val="24"/>
          <w:szCs w:val="24"/>
        </w:rPr>
        <w:t xml:space="preserve">联 系 人： </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.4  任何一方就本协议相关事宜以挂号信、传真、特快专递方式发送通知的，通知在下列日期视为送达</w:t>
      </w:r>
      <w:r>
        <w:rPr>
          <w:rFonts w:hint="eastAsia" w:ascii="楷体_GB2312" w:hAnsi="Times New Roman" w:eastAsia="楷体_GB2312" w:cs="Times New Roman"/>
          <w:sz w:val="24"/>
          <w:szCs w:val="24"/>
        </w:rPr>
        <w:t>被通知方</w:t>
      </w:r>
      <w:r>
        <w:rPr>
          <w:rFonts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 xml:space="preserve">.1 </w:t>
      </w:r>
      <w:r>
        <w:rPr>
          <w:rFonts w:hint="eastAsia" w:ascii="楷体_GB2312" w:hAnsi="Times New Roman" w:eastAsia="楷体_GB2312" w:cs="Times New Roman"/>
          <w:sz w:val="24"/>
          <w:szCs w:val="24"/>
        </w:rPr>
        <w:t>由专人送达，通知方取得的被通知方签收单所标示的日期；</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14.4.2 </w:t>
      </w:r>
      <w:r>
        <w:rPr>
          <w:rFonts w:ascii="楷体_GB2312" w:hAnsi="Times New Roman" w:eastAsia="楷体_GB2312" w:cs="Times New Roman"/>
          <w:sz w:val="24"/>
          <w:szCs w:val="24"/>
        </w:rPr>
        <w:t>由挂号信邮递，发出通知一方持有的挂号信回执所示日；</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3</w:t>
      </w:r>
      <w:r>
        <w:rPr>
          <w:rFonts w:ascii="楷体_GB2312" w:hAnsi="Times New Roman" w:eastAsia="楷体_GB2312" w:cs="Times New Roman"/>
          <w:sz w:val="24"/>
          <w:szCs w:val="24"/>
        </w:rPr>
        <w:t xml:space="preserve"> 由传真传送，收到回复码或成功发送确认条</w:t>
      </w:r>
      <w:r>
        <w:rPr>
          <w:rFonts w:hint="eastAsia" w:ascii="楷体_GB2312" w:hAnsi="Times New Roman" w:eastAsia="楷体_GB2312" w:cs="Times New Roman"/>
          <w:sz w:val="24"/>
          <w:szCs w:val="24"/>
        </w:rPr>
        <w:t>后的当</w:t>
      </w:r>
      <w:r>
        <w:rPr>
          <w:rFonts w:ascii="楷体_GB2312" w:hAnsi="Times New Roman" w:eastAsia="楷体_GB2312" w:cs="Times New Roman"/>
          <w:sz w:val="24"/>
          <w:szCs w:val="24"/>
        </w:rPr>
        <w:t>日；</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 xml:space="preserve"> 由特快专递发送，以收件人签收日为送达日，非因不可抗力事由收件人未签收的，以寄出日后第四个工作日为送达日</w:t>
      </w:r>
      <w:r>
        <w:rPr>
          <w:rFonts w:hint="eastAsia"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4</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任何一方的联络方法发生变更的，应在变更之日起</w:t>
      </w:r>
      <w:r>
        <w:rPr>
          <w:rFonts w:hint="eastAsia" w:ascii="楷体_GB2312" w:hAnsi="Times New Roman" w:eastAsia="楷体_GB2312" w:cs="Times New Roman"/>
          <w:sz w:val="24"/>
          <w:szCs w:val="24"/>
          <w:u w:val="single"/>
          <w:lang w:val="en-US" w:eastAsia="zh-CN"/>
        </w:rPr>
        <w:t>5</w:t>
      </w:r>
      <w:r>
        <w:rPr>
          <w:rFonts w:ascii="楷体_GB2312" w:hAnsi="Times New Roman" w:eastAsia="楷体_GB2312" w:cs="Times New Roman"/>
          <w:sz w:val="24"/>
          <w:szCs w:val="24"/>
        </w:rPr>
        <w:t>个工作日内书面通知其他方。在被通知方收到有关通知之前，被通知方根据变更前的联络方法所做出的联络和通讯应视为有效。</w:t>
      </w:r>
    </w:p>
    <w:p>
      <w:pPr>
        <w:tabs>
          <w:tab w:val="left" w:pos="1260"/>
        </w:tabs>
        <w:snapToGrid w:val="0"/>
        <w:spacing w:line="360" w:lineRule="auto"/>
        <w:ind w:right="-87" w:firstLine="482" w:firstLineChars="200"/>
        <w:rPr>
          <w:rFonts w:ascii="仿宋_GB2312" w:hAnsi="Times New Roman" w:eastAsia="仿宋_GB2312" w:cs="Times New Roman"/>
          <w:b/>
          <w:sz w:val="24"/>
          <w:szCs w:val="24"/>
        </w:rPr>
      </w:pPr>
    </w:p>
    <w:p>
      <w:pPr>
        <w:tabs>
          <w:tab w:val="left" w:pos="1260"/>
        </w:tabs>
        <w:snapToGrid w:val="0"/>
        <w:spacing w:line="360" w:lineRule="auto"/>
        <w:ind w:right="-87" w:firstLine="482" w:firstLineChars="200"/>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第十</w:t>
      </w:r>
      <w:r>
        <w:rPr>
          <w:rFonts w:hint="eastAsia" w:ascii="Times New Roman" w:hAnsi="Times New Roman" w:eastAsia="仿宋_GB2312" w:cs="Times New Roman"/>
          <w:b/>
          <w:color w:val="000000"/>
          <w:sz w:val="24"/>
          <w:szCs w:val="24"/>
        </w:rPr>
        <w:t>五</w:t>
      </w:r>
      <w:r>
        <w:rPr>
          <w:rFonts w:ascii="Times New Roman" w:hAnsi="Times New Roman" w:eastAsia="仿宋_GB2312" w:cs="Times New Roman"/>
          <w:b/>
          <w:color w:val="000000"/>
          <w:sz w:val="24"/>
          <w:szCs w:val="24"/>
        </w:rPr>
        <w:t>条  附则</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.1  本协议签署前形成的任何文件如与本协议相冲突，以本协议为准。</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.2  附件为本协议不可分割的组成部分，与本协议具有同等效力。</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.3  </w:t>
      </w:r>
      <w:r>
        <w:rPr>
          <w:rFonts w:hint="eastAsia" w:ascii="楷体_GB2312" w:hAnsi="Times New Roman" w:eastAsia="楷体_GB2312" w:cs="Times New Roman"/>
          <w:sz w:val="24"/>
          <w:szCs w:val="24"/>
        </w:rPr>
        <w:t>在如下全部条件满足之日，本协议生效：</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15.3.1</w:t>
      </w:r>
      <w:r>
        <w:rPr>
          <w:rFonts w:ascii="楷体_GB2312" w:hAnsi="Times New Roman" w:eastAsia="楷体_GB2312" w:cs="Times New Roman"/>
          <w:sz w:val="24"/>
          <w:szCs w:val="24"/>
        </w:rPr>
        <w:t>本协议自</w:t>
      </w:r>
      <w:r>
        <w:rPr>
          <w:rFonts w:hint="eastAsia" w:ascii="楷体_GB2312" w:hAnsi="Times New Roman" w:eastAsia="楷体_GB2312" w:cs="Times New Roman"/>
          <w:sz w:val="24"/>
          <w:szCs w:val="24"/>
        </w:rPr>
        <w:t>双方</w:t>
      </w:r>
      <w:r>
        <w:rPr>
          <w:rFonts w:ascii="楷体_GB2312" w:hAnsi="Times New Roman" w:eastAsia="楷体_GB2312" w:cs="Times New Roman"/>
          <w:sz w:val="24"/>
          <w:szCs w:val="24"/>
        </w:rPr>
        <w:t>法定代表人或负责人或授权代表签字</w:t>
      </w:r>
      <w:r>
        <w:rPr>
          <w:rFonts w:hint="eastAsia" w:ascii="楷体_GB2312" w:hAnsi="Times New Roman" w:eastAsia="楷体_GB2312" w:cs="Times New Roman"/>
          <w:sz w:val="24"/>
          <w:szCs w:val="24"/>
        </w:rPr>
        <w:t>（或盖人名章）并</w:t>
      </w:r>
      <w:r>
        <w:rPr>
          <w:rFonts w:ascii="楷体_GB2312" w:hAnsi="Times New Roman" w:eastAsia="楷体_GB2312" w:cs="Times New Roman"/>
          <w:sz w:val="24"/>
          <w:szCs w:val="24"/>
        </w:rPr>
        <w:t>盖</w:t>
      </w:r>
      <w:r>
        <w:rPr>
          <w:rFonts w:hint="eastAsia" w:ascii="楷体_GB2312" w:hAnsi="Times New Roman" w:eastAsia="楷体_GB2312" w:cs="Times New Roman"/>
          <w:sz w:val="24"/>
          <w:szCs w:val="24"/>
        </w:rPr>
        <w:t>公</w:t>
      </w:r>
      <w:r>
        <w:rPr>
          <w:rFonts w:ascii="楷体_GB2312" w:hAnsi="Times New Roman" w:eastAsia="楷体_GB2312" w:cs="Times New Roman"/>
          <w:sz w:val="24"/>
          <w:szCs w:val="24"/>
        </w:rPr>
        <w:t>章</w:t>
      </w:r>
      <w:r>
        <w:rPr>
          <w:rFonts w:hint="eastAsia" w:ascii="楷体_GB2312" w:hAnsi="Times New Roman" w:eastAsia="楷体_GB2312" w:cs="Times New Roman"/>
          <w:sz w:val="24"/>
          <w:szCs w:val="24"/>
        </w:rPr>
        <w:t>；</w:t>
      </w:r>
    </w:p>
    <w:p>
      <w:pPr>
        <w:spacing w:line="500" w:lineRule="exact"/>
        <w:ind w:firstLine="480" w:firstLineChars="200"/>
        <w:rPr>
          <w:rFonts w:ascii="楷体_GB2312" w:hAnsi="Times New Roman" w:eastAsia="楷体_GB2312" w:cs="Times New Roman"/>
          <w:sz w:val="24"/>
          <w:szCs w:val="24"/>
        </w:rPr>
      </w:pPr>
      <w:r>
        <w:rPr>
          <w:rFonts w:hint="eastAsia" w:ascii="楷体_GB2312" w:hAnsi="Times New Roman" w:eastAsia="楷体_GB2312" w:cs="Times New Roman"/>
          <w:sz w:val="24"/>
          <w:szCs w:val="24"/>
        </w:rPr>
        <w:t>15.3.2 乙方按照本协议第6.2款约定支付了足额履约保证金。</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.4  </w:t>
      </w:r>
      <w:r>
        <w:rPr>
          <w:rFonts w:hint="eastAsia" w:ascii="楷体_GB2312" w:hAnsi="Times New Roman" w:eastAsia="楷体_GB2312" w:cs="Times New Roman"/>
          <w:sz w:val="24"/>
          <w:szCs w:val="24"/>
        </w:rPr>
        <w:t>本协议双方均确认其充分知晓并理解本协议中全部条款的实质含义及其相应的法律后果，并基于此种理解，签署本协议。</w:t>
      </w:r>
    </w:p>
    <w:p>
      <w:pPr>
        <w:spacing w:line="500" w:lineRule="exact"/>
        <w:ind w:firstLine="480" w:firstLineChars="200"/>
        <w:rPr>
          <w:rFonts w:ascii="楷体_GB2312" w:hAnsi="Times New Roman" w:eastAsia="楷体_GB2312" w:cs="Times New Roman"/>
          <w:sz w:val="24"/>
          <w:szCs w:val="24"/>
        </w:rPr>
      </w:pPr>
      <w:r>
        <w:rPr>
          <w:rFonts w:ascii="楷体_GB2312" w:hAnsi="Times New Roman" w:eastAsia="楷体_GB2312" w:cs="Times New Roman"/>
          <w:sz w:val="24"/>
          <w:szCs w:val="24"/>
        </w:rPr>
        <w:t>1</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w:t>
      </w:r>
      <w:r>
        <w:rPr>
          <w:rFonts w:hint="eastAsia" w:ascii="楷体_GB2312" w:hAnsi="Times New Roman" w:eastAsia="楷体_GB2312" w:cs="Times New Roman"/>
          <w:sz w:val="24"/>
          <w:szCs w:val="24"/>
        </w:rPr>
        <w:t>5</w:t>
      </w:r>
      <w:r>
        <w:rPr>
          <w:rFonts w:ascii="楷体_GB2312" w:hAnsi="Times New Roman" w:eastAsia="楷体_GB2312" w:cs="Times New Roman"/>
          <w:sz w:val="24"/>
          <w:szCs w:val="24"/>
        </w:rPr>
        <w:t xml:space="preserve">  本协议采用中文订立，一式</w:t>
      </w:r>
      <w:r>
        <w:rPr>
          <w:rFonts w:hint="eastAsia" w:ascii="楷体_GB2312" w:hAnsi="Times New Roman" w:eastAsia="楷体_GB2312" w:cs="Times New Roman"/>
          <w:sz w:val="24"/>
          <w:szCs w:val="24"/>
          <w:u w:val="single"/>
          <w:lang w:eastAsia="zh-CN"/>
        </w:rPr>
        <w:t>肆</w:t>
      </w:r>
      <w:r>
        <w:rPr>
          <w:rFonts w:ascii="楷体_GB2312" w:hAnsi="Times New Roman" w:eastAsia="楷体_GB2312" w:cs="Times New Roman"/>
          <w:sz w:val="24"/>
          <w:szCs w:val="24"/>
        </w:rPr>
        <w:t>份，具同等法律效力</w:t>
      </w:r>
      <w:r>
        <w:rPr>
          <w:rFonts w:hint="eastAsia" w:ascii="楷体_GB2312" w:hAnsi="Times New Roman" w:eastAsia="楷体_GB2312" w:cs="Times New Roman"/>
          <w:sz w:val="24"/>
          <w:szCs w:val="24"/>
        </w:rPr>
        <w:t>，</w:t>
      </w:r>
      <w:r>
        <w:rPr>
          <w:rFonts w:ascii="楷体_GB2312" w:hAnsi="Times New Roman" w:eastAsia="楷体_GB2312" w:cs="Times New Roman"/>
          <w:sz w:val="24"/>
          <w:szCs w:val="24"/>
        </w:rPr>
        <w:t>甲方持</w:t>
      </w:r>
      <w:r>
        <w:rPr>
          <w:rFonts w:hint="eastAsia" w:ascii="楷体_GB2312" w:hAnsi="Times New Roman" w:eastAsia="楷体_GB2312" w:cs="Times New Roman"/>
          <w:sz w:val="24"/>
          <w:szCs w:val="24"/>
          <w:u w:val="single"/>
          <w:lang w:eastAsia="zh-CN"/>
        </w:rPr>
        <w:t>贰</w:t>
      </w:r>
      <w:r>
        <w:rPr>
          <w:rFonts w:ascii="楷体_GB2312" w:hAnsi="Times New Roman" w:eastAsia="楷体_GB2312" w:cs="Times New Roman"/>
          <w:sz w:val="24"/>
          <w:szCs w:val="24"/>
        </w:rPr>
        <w:t>份，乙方持</w:t>
      </w:r>
      <w:r>
        <w:rPr>
          <w:rFonts w:hint="eastAsia" w:ascii="楷体_GB2312" w:hAnsi="Times New Roman" w:eastAsia="楷体_GB2312" w:cs="Times New Roman"/>
          <w:sz w:val="24"/>
          <w:szCs w:val="24"/>
          <w:u w:val="single"/>
          <w:lang w:eastAsia="zh-CN"/>
        </w:rPr>
        <w:t>贰</w:t>
      </w:r>
      <w:r>
        <w:rPr>
          <w:rFonts w:ascii="楷体_GB2312" w:hAnsi="Times New Roman" w:eastAsia="楷体_GB2312" w:cs="Times New Roman"/>
          <w:sz w:val="24"/>
          <w:szCs w:val="24"/>
        </w:rPr>
        <w:t>份。</w:t>
      </w:r>
    </w:p>
    <w:p>
      <w:pPr>
        <w:spacing w:line="360" w:lineRule="auto"/>
        <w:ind w:firstLine="480" w:firstLineChars="200"/>
        <w:rPr>
          <w:rFonts w:ascii="仿宋_GB2312" w:hAnsi="Times New Roman" w:eastAsia="仿宋_GB2312" w:cs="Times New Roman"/>
          <w:sz w:val="24"/>
          <w:szCs w:val="24"/>
        </w:rPr>
      </w:pP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第十六条  双方另行约定的条款</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u w:val="single"/>
        </w:rPr>
        <w:t>就乙方向甲方支付的本协议项下的债权转让价款，甲方仅向乙方出具甲方制式的处置资产收回款项凭证。</w:t>
      </w:r>
    </w:p>
    <w:p>
      <w:pPr>
        <w:spacing w:line="380" w:lineRule="atLeast"/>
        <w:outlineLvl w:val="0"/>
        <w:rPr>
          <w:rFonts w:hint="eastAsia" w:ascii="仿宋_GB2312" w:eastAsia="仿宋_GB2312" w:cs="Times New Roman"/>
          <w:b/>
          <w:sz w:val="24"/>
          <w:szCs w:val="24"/>
          <w:lang w:eastAsia="zh-CN"/>
        </w:rPr>
      </w:pPr>
      <w:r>
        <w:rPr>
          <w:rFonts w:hint="eastAsia" w:ascii="仿宋_GB2312" w:eastAsia="仿宋_GB2312" w:cs="Times New Roman"/>
          <w:b/>
          <w:sz w:val="24"/>
          <w:szCs w:val="24"/>
          <w:lang w:eastAsia="zh-CN"/>
        </w:rPr>
        <w:t>（以下无正文，签章页）</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甲方（盖章）：</w:t>
      </w:r>
      <w:r>
        <w:rPr>
          <w:rFonts w:hint="eastAsia" w:ascii="仿宋_GB2312" w:hAnsi="Times New Roman" w:eastAsia="仿宋_GB2312" w:cs="Times New Roman"/>
          <w:b/>
          <w:sz w:val="24"/>
          <w:szCs w:val="24"/>
        </w:rPr>
        <w:t>中国长城资产管理股份有限公司 山东省分公司</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负 责 人 或</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授权代表签字（盖人名章）：</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开户银行：</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账    号：</w:t>
      </w:r>
    </w:p>
    <w:p>
      <w:pPr>
        <w:tabs>
          <w:tab w:val="left" w:pos="180"/>
        </w:tabs>
        <w:spacing w:line="360" w:lineRule="auto"/>
        <w:ind w:firstLine="480" w:firstLineChars="200"/>
        <w:rPr>
          <w:rFonts w:ascii="仿宋_GB2312" w:hAnsi="Times New Roman" w:eastAsia="仿宋_GB2312" w:cs="Times New Roman"/>
          <w:color w:val="000000"/>
          <w:sz w:val="24"/>
          <w:szCs w:val="24"/>
        </w:rPr>
      </w:pP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乙方（盖章）：</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法定代表人或</w:t>
      </w:r>
    </w:p>
    <w:p>
      <w:pPr>
        <w:tabs>
          <w:tab w:val="left" w:pos="180"/>
        </w:tabs>
        <w:spacing w:line="360" w:lineRule="auto"/>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授权代表签字（盖人名章）：</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开户银行：</w:t>
      </w:r>
    </w:p>
    <w:p>
      <w:pPr>
        <w:spacing w:line="360" w:lineRule="auto"/>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账    号：</w:t>
      </w: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p>
    <w:p>
      <w:pPr>
        <w:spacing w:line="380" w:lineRule="atLeast"/>
        <w:jc w:val="center"/>
        <w:outlineLvl w:val="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债权转让协议</w:t>
      </w:r>
    </w:p>
    <w:p>
      <w:pPr>
        <w:spacing w:line="380" w:lineRule="atLeast"/>
        <w:jc w:val="center"/>
        <w:outlineLvl w:val="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附件清单</w:t>
      </w:r>
    </w:p>
    <w:p>
      <w:pPr>
        <w:spacing w:line="380" w:lineRule="atLeast"/>
        <w:jc w:val="center"/>
        <w:outlineLvl w:val="0"/>
        <w:rPr>
          <w:rFonts w:ascii="仿宋_GB2312" w:hAnsi="Times New Roman" w:eastAsia="仿宋_GB2312" w:cs="Times New Roman"/>
          <w:b/>
          <w:sz w:val="30"/>
          <w:szCs w:val="30"/>
        </w:rPr>
      </w:pPr>
    </w:p>
    <w:p>
      <w:pPr>
        <w:tabs>
          <w:tab w:val="left" w:pos="8280"/>
        </w:tabs>
        <w:snapToGrid w:val="0"/>
        <w:spacing w:line="380" w:lineRule="atLeast"/>
        <w:ind w:left="1446" w:right="-154"/>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附件一：贷款债权明细表</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附件二：贷款债权证明文件清单</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附件三：服务协议清单</w:t>
      </w:r>
    </w:p>
    <w:p>
      <w:pPr>
        <w:tabs>
          <w:tab w:val="left" w:pos="8280"/>
        </w:tabs>
        <w:snapToGrid w:val="0"/>
        <w:spacing w:line="380" w:lineRule="atLeast"/>
        <w:ind w:right="-154" w:firstLine="1446" w:firstLineChars="6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附件四：</w:t>
      </w:r>
      <w:r>
        <w:rPr>
          <w:rFonts w:hint="eastAsia" w:ascii="Times New Roman" w:hAnsi="Times New Roman" w:eastAsia="仿宋_GB2312" w:cs="Times New Roman"/>
          <w:b/>
          <w:sz w:val="24"/>
          <w:szCs w:val="24"/>
        </w:rPr>
        <w:t>贷款债权证明文件补充清单</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附件五：贷款债权证明文件及服务协议收据</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附件六：债权转让确认函</w:t>
      </w:r>
    </w:p>
    <w:p>
      <w:pPr>
        <w:tabs>
          <w:tab w:val="left" w:pos="8280"/>
        </w:tabs>
        <w:snapToGrid w:val="0"/>
        <w:spacing w:line="380" w:lineRule="atLeast"/>
        <w:ind w:right="-154" w:firstLine="1446" w:firstLineChars="6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附件七：协议条款说明记录单</w:t>
      </w:r>
    </w:p>
    <w:p>
      <w:pPr>
        <w:tabs>
          <w:tab w:val="left" w:pos="8280"/>
        </w:tabs>
        <w:snapToGrid w:val="0"/>
        <w:spacing w:line="380" w:lineRule="atLeast"/>
        <w:ind w:left="0" w:right="-154" w:firstLine="1446" w:firstLineChars="600"/>
        <w:rPr>
          <w:rFonts w:hint="eastAsia" w:ascii="仿宋_GB2312" w:hAnsi="Times New Roman" w:eastAsia="仿宋_GB2312" w:cs="Times New Roman"/>
          <w:b/>
          <w:i w:val="0"/>
          <w:color w:val="auto"/>
          <w:sz w:val="24"/>
          <w:szCs w:val="24"/>
        </w:rPr>
      </w:pPr>
      <w:r>
        <w:rPr>
          <w:rFonts w:hint="eastAsia" w:ascii="仿宋_GB2312" w:hAnsi="Times New Roman" w:eastAsia="仿宋_GB2312" w:cs="Times New Roman"/>
          <w:b/>
          <w:i w:val="0"/>
          <w:color w:val="auto"/>
          <w:sz w:val="24"/>
          <w:szCs w:val="24"/>
        </w:rPr>
        <w:t>附件八：拍卖成交确认书</w:t>
      </w:r>
    </w:p>
    <w:p>
      <w:pPr>
        <w:tabs>
          <w:tab w:val="left" w:pos="8280"/>
        </w:tabs>
        <w:snapToGrid w:val="0"/>
        <w:spacing w:line="380" w:lineRule="atLeast"/>
        <w:ind w:right="-154" w:firstLine="1446" w:firstLineChars="600"/>
        <w:rPr>
          <w:rFonts w:hint="eastAsia" w:ascii="仿宋_GB2312" w:hAnsi="Times New Roman" w:eastAsia="仿宋_GB2312" w:cs="Times New Roman"/>
          <w:b/>
          <w:i w:val="0"/>
          <w:color w:val="FF0000"/>
          <w:sz w:val="24"/>
          <w:szCs w:val="24"/>
        </w:rPr>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债权转让协议附件一：贷款债权明细表</w:t>
      </w:r>
    </w:p>
    <w:p>
      <w:pPr>
        <w:ind w:firstLine="11880" w:firstLineChars="4950"/>
        <w:rPr>
          <w:rFonts w:ascii="仿宋_GB2312" w:hAnsi="Times New Roman" w:eastAsia="仿宋_GB2312" w:cs="Times New Roman"/>
          <w:sz w:val="24"/>
          <w:szCs w:val="24"/>
        </w:rPr>
      </w:pPr>
    </w:p>
    <w:p>
      <w:pPr>
        <w:ind w:left="5745" w:leftChars="2736" w:firstLine="6120" w:firstLineChars="2550"/>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w:t>
      </w:r>
      <w:r>
        <w:rPr>
          <w:rFonts w:hint="eastAsia" w:ascii="仿宋_GB2312" w:hAnsi="Times New Roman" w:eastAsia="仿宋_GB2312" w:cs="Times New Roman"/>
          <w:sz w:val="24"/>
          <w:szCs w:val="24"/>
          <w:lang w:eastAsia="zh-CN"/>
        </w:rPr>
        <w:t>单位</w:t>
      </w:r>
      <w:r>
        <w:rPr>
          <w:rFonts w:hint="eastAsia" w:ascii="仿宋_GB2312" w:hAnsi="Times New Roman" w:eastAsia="仿宋_GB2312" w:cs="Times New Roman"/>
          <w:sz w:val="24"/>
          <w:szCs w:val="24"/>
        </w:rPr>
        <w:t>：元</w:t>
      </w:r>
    </w:p>
    <w:p>
      <w:pPr>
        <w:spacing w:line="380" w:lineRule="atLeast"/>
        <w:jc w:val="both"/>
        <w:outlineLvl w:val="0"/>
        <w:rPr>
          <w:rFonts w:ascii="仿宋_GB2312" w:hAnsi="Times New Roman" w:eastAsia="仿宋_GB2312" w:cs="Times New Roman"/>
          <w:b/>
          <w:bCs/>
          <w:sz w:val="24"/>
          <w:szCs w:val="24"/>
        </w:rPr>
      </w:pPr>
    </w:p>
    <w:tbl>
      <w:tblPr>
        <w:tblStyle w:val="4"/>
        <w:tblW w:w="8522" w:type="dxa"/>
        <w:tblInd w:w="0" w:type="dxa"/>
        <w:tblLayout w:type="fixed"/>
        <w:tblCellMar>
          <w:top w:w="0" w:type="dxa"/>
          <w:left w:w="108" w:type="dxa"/>
          <w:bottom w:w="0" w:type="dxa"/>
          <w:right w:w="108" w:type="dxa"/>
        </w:tblCellMar>
      </w:tblPr>
      <w:tblGrid>
        <w:gridCol w:w="397"/>
        <w:gridCol w:w="1071"/>
        <w:gridCol w:w="1144"/>
        <w:gridCol w:w="1926"/>
        <w:gridCol w:w="2004"/>
        <w:gridCol w:w="1980"/>
      </w:tblGrid>
      <w:tr>
        <w:tblPrEx>
          <w:tblCellMar>
            <w:top w:w="0" w:type="dxa"/>
            <w:left w:w="108" w:type="dxa"/>
            <w:bottom w:w="0" w:type="dxa"/>
            <w:right w:w="108" w:type="dxa"/>
          </w:tblCellMar>
        </w:tblPrEx>
        <w:trPr>
          <w:trHeight w:val="443"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借款人</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贷款方式</w:t>
            </w:r>
          </w:p>
        </w:tc>
        <w:tc>
          <w:tcPr>
            <w:tcW w:w="19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本金</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欠息</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债权</w:t>
            </w:r>
            <w:r>
              <w:rPr>
                <w:rFonts w:hint="eastAsia" w:asciiTheme="minorEastAsia" w:hAnsiTheme="minorEastAsia" w:eastAsiaTheme="minorEastAsia" w:cstheme="minorEastAsia"/>
                <w:color w:val="000000"/>
                <w:kern w:val="0"/>
                <w:szCs w:val="21"/>
              </w:rPr>
              <w:t>合计</w:t>
            </w:r>
          </w:p>
        </w:tc>
      </w:tr>
      <w:tr>
        <w:tblPrEx>
          <w:tblCellMar>
            <w:top w:w="0" w:type="dxa"/>
            <w:left w:w="108" w:type="dxa"/>
            <w:bottom w:w="0" w:type="dxa"/>
            <w:right w:w="108" w:type="dxa"/>
          </w:tblCellMar>
        </w:tblPrEx>
        <w:trPr>
          <w:trHeight w:val="3564"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山东宝隆生物降解材料股份有限公司</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rPr>
              <w:t>由宝隆生物名下的房地产提供抵押担保，法定代表人孙超与其配偶齐舒展、实际控制人孙隆学与其配偶管成菊个人连带责任保证担保。</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2"/>
                <w:szCs w:val="22"/>
                <w:u w:val="none"/>
                <w:lang w:val="en-US" w:eastAsia="zh-CN" w:bidi="ar"/>
              </w:rPr>
              <w:t>8,000,000.00</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3,784,954.96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rPr>
              <w:t>11,784,954.96</w:t>
            </w:r>
          </w:p>
        </w:tc>
      </w:tr>
      <w:tr>
        <w:tblPrEx>
          <w:tblCellMar>
            <w:top w:w="0" w:type="dxa"/>
            <w:left w:w="108" w:type="dxa"/>
            <w:bottom w:w="0" w:type="dxa"/>
            <w:right w:w="108" w:type="dxa"/>
          </w:tblCellMar>
        </w:tblPrEx>
        <w:trPr>
          <w:trHeight w:val="347"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2"/>
                <w:szCs w:val="22"/>
                <w:u w:val="none"/>
                <w:lang w:val="en-US" w:eastAsia="zh-CN" w:bidi="ar"/>
              </w:rPr>
              <w:t>8,000,000.00</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3,784,954.96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rPr>
              <w:t>11,784,954.96</w:t>
            </w:r>
          </w:p>
        </w:tc>
      </w:tr>
    </w:tbl>
    <w:p>
      <w:pPr>
        <w:spacing w:line="380" w:lineRule="atLeast"/>
        <w:jc w:val="both"/>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sectPr>
          <w:pgSz w:w="11906" w:h="16838"/>
          <w:pgMar w:top="1440" w:right="1797" w:bottom="1440" w:left="1797" w:header="851" w:footer="992" w:gutter="0"/>
          <w:cols w:space="425" w:num="1"/>
          <w:docGrid w:type="linesAndChars" w:linePitch="312" w:charSpace="0"/>
        </w:sectPr>
      </w:pP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附件二：贷款债权证明文件清单</w:t>
      </w:r>
    </w:p>
    <w:p>
      <w:pPr>
        <w:ind w:firstLine="6240" w:firstLineChars="2600"/>
        <w:rPr>
          <w:rFonts w:ascii="仿宋_GB2312" w:hAnsi="Times New Roman" w:eastAsia="仿宋_GB2312" w:cs="Times New Roman"/>
          <w:sz w:val="24"/>
          <w:szCs w:val="24"/>
        </w:rPr>
      </w:pPr>
    </w:p>
    <w:p>
      <w:pPr>
        <w:rPr>
          <w:rFonts w:ascii="仿宋_GB2312" w:hAnsi="Times New Roman" w:eastAsia="仿宋_GB2312" w:cs="Times New Roman"/>
          <w:sz w:val="24"/>
          <w:szCs w:val="24"/>
        </w:rPr>
      </w:pPr>
    </w:p>
    <w:p>
      <w:pPr>
        <w:jc w:val="left"/>
        <w:rPr>
          <w:rFonts w:hint="eastAsia" w:ascii="仿宋_GB2312" w:eastAsia="仿宋_GB2312"/>
          <w:sz w:val="24"/>
          <w:lang w:eastAsia="zh-CN"/>
        </w:rPr>
      </w:pPr>
      <w:r>
        <w:rPr>
          <w:rFonts w:hint="eastAsia" w:ascii="仿宋_GB2312" w:hAnsi="Times New Roman" w:eastAsia="仿宋_GB2312" w:cs="Times New Roman"/>
          <w:sz w:val="24"/>
          <w:szCs w:val="24"/>
        </w:rPr>
        <w:t>借款人名称：</w:t>
      </w:r>
      <w:r>
        <w:rPr>
          <w:rFonts w:hint="eastAsia" w:ascii="仿宋_GB2312" w:eastAsia="仿宋_GB2312" w:cs="仿宋_GB2312"/>
          <w:bCs/>
          <w:kern w:val="44"/>
          <w:sz w:val="24"/>
          <w:lang w:eastAsia="zh-CN"/>
        </w:rPr>
        <w:t>山东宝隆生物降解材料股份有限公司</w:t>
      </w:r>
    </w:p>
    <w:tbl>
      <w:tblPr>
        <w:tblStyle w:val="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9"/>
        <w:gridCol w:w="2380"/>
        <w:gridCol w:w="3446"/>
        <w:gridCol w:w="651"/>
        <w:gridCol w:w="722"/>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重要凭证名称及编号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原件份数</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复印件份数</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借款借据</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流动资金借款合同：兴银沂借字第2015-131号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流动资金借款合同：兴银沂高抵字第2015-160号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最高额保证合同：兴银沂借个高保字第2015-160-1号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最高额保证合同：兴银沂借个高保字第2015-160-2号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保证合同：兴银沂借保字第2015-160号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最高额保证合同：兴银沂借个高保字第2014-106-1号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最高额保证合同：兴银沂借个高保字第2014-106-2号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保证合同：兴银沂借保字第2015-131号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最高额抵押合同：兴银沂高抵字第2012-034号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房屋他项权证；沂房他证沂水县字第201313号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民事判决书：（2016）鲁13民初92号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沂国用（2011）第111号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沂房权证沂房字第003924号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山东宝隆生物降解材料股份有限公司</w:t>
            </w:r>
          </w:p>
        </w:tc>
        <w:tc>
          <w:tcPr>
            <w:tcW w:w="3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执行裁定书：（2016）鲁13执193号</w:t>
            </w:r>
          </w:p>
        </w:tc>
        <w:tc>
          <w:tcPr>
            <w:tcW w:w="6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ascii="仿宋_GB2312" w:hAnsi="Times New Roman" w:eastAsia="仿宋_GB2312" w:cs="Times New Roman"/>
          <w:sz w:val="24"/>
          <w:szCs w:val="24"/>
        </w:rPr>
      </w:pPr>
    </w:p>
    <w:p>
      <w:pPr>
        <w:rPr>
          <w:rFonts w:ascii="仿宋_GB2312" w:hAnsi="Times New Roman" w:eastAsia="仿宋_GB2312" w:cs="Times New Roman"/>
          <w:szCs w:val="24"/>
          <w:shd w:val="pct10" w:color="auto" w:fill="FFFFFF"/>
        </w:rPr>
      </w:pPr>
      <w:r>
        <w:rPr>
          <w:rFonts w:hint="eastAsia" w:ascii="仿宋_GB2312" w:hAnsi="Times New Roman" w:eastAsia="仿宋_GB2312" w:cs="Times New Roman"/>
          <w:szCs w:val="24"/>
        </w:rPr>
        <w:t>注：1、本清单如为资产包，应以资产包中的借款人为单位，逐户填制；</w:t>
      </w:r>
    </w:p>
    <w:p>
      <w:pPr>
        <w:ind w:firstLine="420"/>
        <w:rPr>
          <w:rFonts w:ascii="仿宋_GB2312" w:hAnsi="Times New Roman" w:eastAsia="仿宋_GB2312" w:cs="Times New Roman"/>
          <w:szCs w:val="24"/>
        </w:rPr>
      </w:pPr>
      <w:r>
        <w:rPr>
          <w:rFonts w:hint="eastAsia" w:ascii="仿宋_GB2312" w:hAnsi="Times New Roman" w:eastAsia="仿宋_GB2312" w:cs="Times New Roman"/>
          <w:szCs w:val="24"/>
        </w:rPr>
        <w:t>2、同一名称项下存在多份贷款债权证明文件且部分为复印件的，应在备注中单独说明复印件的名称和数量；</w:t>
      </w:r>
    </w:p>
    <w:p>
      <w:pPr>
        <w:ind w:firstLine="420"/>
        <w:rPr>
          <w:rFonts w:ascii="仿宋_GB2312" w:hAnsi="Times New Roman" w:eastAsia="仿宋_GB2312" w:cs="Times New Roman"/>
          <w:szCs w:val="24"/>
        </w:rPr>
      </w:pPr>
      <w:r>
        <w:rPr>
          <w:rFonts w:hint="eastAsia" w:ascii="仿宋_GB2312" w:hAnsi="Times New Roman" w:eastAsia="仿宋_GB2312" w:cs="Times New Roman"/>
          <w:szCs w:val="24"/>
        </w:rPr>
        <w:t>3、甲方于基准日实际持有的超出本清单范围的材料（如有），可在交割日一并交付给乙方，但该等交付不构成甲方在本协议项下的义务。</w:t>
      </w:r>
    </w:p>
    <w:p>
      <w:pPr>
        <w:ind w:firstLine="420"/>
        <w:rPr>
          <w:rFonts w:ascii="仿宋_GB2312" w:hAnsi="Times New Roman" w:eastAsia="仿宋_GB2312" w:cs="Times New Roman"/>
          <w:szCs w:val="24"/>
        </w:rPr>
      </w:pPr>
    </w:p>
    <w:p>
      <w:pPr>
        <w:ind w:firstLine="420"/>
        <w:rPr>
          <w:rFonts w:ascii="仿宋_GB2312" w:hAnsi="Times New Roman" w:eastAsia="仿宋_GB2312" w:cs="Times New Roman"/>
          <w:szCs w:val="24"/>
        </w:rPr>
      </w:pPr>
    </w:p>
    <w:p>
      <w:pPr>
        <w:spacing w:line="380" w:lineRule="atLeast"/>
        <w:ind w:firstLine="413" w:firstLineChars="196"/>
        <w:outlineLvl w:val="0"/>
        <w:rPr>
          <w:rFonts w:ascii="仿宋_GB2312" w:hAnsi="Times New Roman" w:eastAsia="仿宋_GB2312" w:cs="Times New Roman"/>
          <w:b/>
          <w:szCs w:val="24"/>
        </w:rPr>
      </w:pPr>
      <w:r>
        <w:rPr>
          <w:rFonts w:hint="eastAsia" w:ascii="仿宋_GB2312" w:hAnsi="Times New Roman" w:eastAsia="仿宋_GB2312" w:cs="Times New Roman"/>
          <w:b/>
          <w:szCs w:val="24"/>
        </w:rPr>
        <w:t>甲方：中国长城资产管理股份有限公司</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山东省分公司（盖章）</w:t>
      </w: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r>
        <w:rPr>
          <w:rFonts w:hint="eastAsia" w:ascii="仿宋_GB2312" w:hAnsi="Times New Roman" w:eastAsia="仿宋_GB2312" w:cs="Times New Roman"/>
          <w:b/>
          <w:szCs w:val="24"/>
        </w:rPr>
        <w:t>经办人（签字）：</w:t>
      </w:r>
      <w:r>
        <w:rPr>
          <w:rFonts w:hint="eastAsia" w:ascii="仿宋_GB2312" w:hAnsi="Times New Roman" w:eastAsia="仿宋_GB2312" w:cs="Times New Roman"/>
          <w:b/>
          <w:szCs w:val="24"/>
          <w:u w:val="single"/>
        </w:rPr>
        <w:t xml:space="preserve">                        </w:t>
      </w:r>
    </w:p>
    <w:p>
      <w:pPr>
        <w:tabs>
          <w:tab w:val="left" w:pos="980"/>
        </w:tabs>
        <w:spacing w:after="120" w:line="380" w:lineRule="atLeast"/>
        <w:ind w:left="420" w:leftChars="200"/>
        <w:rPr>
          <w:rFonts w:ascii="仿宋_GB2312" w:hAnsi="Times New Roman" w:eastAsia="仿宋_GB2312" w:cs="Times New Roman"/>
          <w:b/>
          <w:szCs w:val="24"/>
        </w:rPr>
      </w:pPr>
    </w:p>
    <w:p>
      <w:pPr>
        <w:tabs>
          <w:tab w:val="left" w:pos="980"/>
        </w:tabs>
        <w:spacing w:after="120" w:line="380" w:lineRule="atLeast"/>
        <w:ind w:left="420" w:leftChars="200"/>
        <w:rPr>
          <w:rFonts w:ascii="仿宋_GB2312" w:hAnsi="Times New Roman" w:eastAsia="仿宋_GB2312" w:cs="Times New Roman"/>
          <w:b/>
          <w:szCs w:val="24"/>
        </w:rPr>
      </w:pPr>
      <w:r>
        <w:rPr>
          <w:rFonts w:hint="eastAsia" w:ascii="仿宋_GB2312" w:hAnsi="Times New Roman" w:eastAsia="仿宋_GB2312" w:cs="Times New Roman"/>
          <w:b/>
          <w:szCs w:val="24"/>
        </w:rPr>
        <w:t>乙方：</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（盖章）</w:t>
      </w:r>
    </w:p>
    <w:p>
      <w:pPr>
        <w:tabs>
          <w:tab w:val="left" w:pos="980"/>
        </w:tabs>
        <w:spacing w:after="120" w:line="380" w:lineRule="atLeast"/>
        <w:ind w:left="420" w:leftChars="200"/>
        <w:rPr>
          <w:rFonts w:ascii="仿宋_GB2312" w:hAnsi="Times New Roman" w:eastAsia="仿宋_GB2312" w:cs="Times New Roman"/>
          <w:b/>
          <w:szCs w:val="24"/>
        </w:rPr>
      </w:pPr>
    </w:p>
    <w:p>
      <w:pPr>
        <w:ind w:firstLine="413" w:firstLineChars="196"/>
        <w:rPr>
          <w:rFonts w:ascii="仿宋_GB2312" w:hAnsi="Times New Roman" w:eastAsia="仿宋_GB2312" w:cs="Times New Roman"/>
          <w:b/>
          <w:szCs w:val="24"/>
        </w:rPr>
      </w:pPr>
      <w:r>
        <w:rPr>
          <w:rFonts w:hint="eastAsia" w:ascii="仿宋_GB2312" w:hAnsi="Times New Roman" w:eastAsia="仿宋_GB2312" w:cs="Times New Roman"/>
          <w:b/>
          <w:szCs w:val="24"/>
        </w:rPr>
        <w:t>经办人（签字）：</w:t>
      </w:r>
      <w:r>
        <w:rPr>
          <w:rFonts w:hint="eastAsia" w:ascii="仿宋_GB2312" w:hAnsi="Times New Roman" w:eastAsia="仿宋_GB2312" w:cs="Times New Roman"/>
          <w:b/>
          <w:szCs w:val="24"/>
          <w:u w:val="single"/>
        </w:rPr>
        <w:t xml:space="preserve">                            </w:t>
      </w:r>
      <w:r>
        <w:rPr>
          <w:rFonts w:hint="eastAsia" w:ascii="仿宋_GB2312" w:hAnsi="Times New Roman" w:eastAsia="仿宋_GB2312" w:cs="Times New Roman"/>
          <w:b/>
          <w:szCs w:val="24"/>
        </w:rPr>
        <w:t xml:space="preserve">  </w:t>
      </w:r>
    </w:p>
    <w:p>
      <w:pPr>
        <w:spacing w:line="380" w:lineRule="atLeast"/>
        <w:jc w:val="center"/>
        <w:outlineLvl w:val="0"/>
        <w:rPr>
          <w:rFonts w:ascii="仿宋_GB2312" w:hAnsi="Times New Roman" w:eastAsia="仿宋_GB2312" w:cs="Times New Roman"/>
          <w:b/>
          <w:bCs/>
          <w:sz w:val="24"/>
          <w:szCs w:val="24"/>
        </w:rPr>
      </w:pPr>
    </w:p>
    <w:p>
      <w:pPr>
        <w:widowControl/>
        <w:jc w:val="left"/>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hint="eastAsia"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债权转让协议附件三：服务协议清单</w:t>
      </w:r>
    </w:p>
    <w:p>
      <w:pPr>
        <w:rPr>
          <w:rFonts w:ascii="仿宋_GB2312" w:hAnsi="Times New Roman" w:eastAsia="仿宋_GB2312" w:cs="Times New Roman"/>
          <w:sz w:val="24"/>
          <w:szCs w:val="24"/>
        </w:rPr>
      </w:pPr>
    </w:p>
    <w:p>
      <w:pPr>
        <w:rPr>
          <w:rFonts w:ascii="仿宋_GB2312" w:hAnsi="Times New Roman" w:eastAsia="仿宋_GB2312" w:cs="Times New Roman"/>
          <w:szCs w:val="24"/>
        </w:rPr>
      </w:pPr>
    </w:p>
    <w:tbl>
      <w:tblPr>
        <w:tblStyle w:val="4"/>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260"/>
        <w:gridCol w:w="1800"/>
        <w:gridCol w:w="19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44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借款人名称</w:t>
            </w:r>
          </w:p>
        </w:tc>
        <w:tc>
          <w:tcPr>
            <w:tcW w:w="126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协议名称</w:t>
            </w:r>
          </w:p>
        </w:tc>
        <w:tc>
          <w:tcPr>
            <w:tcW w:w="180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中介机构名称</w:t>
            </w:r>
          </w:p>
        </w:tc>
        <w:tc>
          <w:tcPr>
            <w:tcW w:w="1980" w:type="dxa"/>
            <w:vAlign w:val="center"/>
          </w:tcPr>
          <w:p>
            <w:pPr>
              <w:jc w:val="center"/>
              <w:rPr>
                <w:rFonts w:ascii="仿宋_GB2312" w:hAnsi="Times New Roman" w:eastAsia="仿宋_GB2312" w:cs="Times New Roman"/>
                <w:b/>
                <w:sz w:val="18"/>
                <w:szCs w:val="18"/>
              </w:rPr>
            </w:pPr>
            <w:r>
              <w:rPr>
                <w:rFonts w:hint="eastAsia" w:ascii="仿宋_GB2312" w:hAnsi="Times New Roman" w:eastAsia="仿宋_GB2312" w:cs="Times New Roman"/>
                <w:b/>
                <w:sz w:val="24"/>
                <w:szCs w:val="24"/>
              </w:rPr>
              <w:t>协议编号或主要内容</w:t>
            </w:r>
          </w:p>
        </w:tc>
        <w:tc>
          <w:tcPr>
            <w:tcW w:w="72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Pr>
          <w:p>
            <w:pPr>
              <w:rPr>
                <w:rFonts w:hint="eastAsia" w:ascii="仿宋_GB2312" w:hAnsi="Times New Roman" w:eastAsia="仿宋_GB2312" w:cs="Times New Roman"/>
                <w:szCs w:val="24"/>
                <w:lang w:eastAsia="zh-CN"/>
              </w:rPr>
            </w:pPr>
            <w:r>
              <w:rPr>
                <w:rFonts w:hint="eastAsia" w:ascii="仿宋_GB2312" w:hAnsi="Times New Roman" w:eastAsia="仿宋_GB2312" w:cs="Times New Roman"/>
                <w:szCs w:val="24"/>
                <w:lang w:eastAsia="zh-CN"/>
              </w:rPr>
              <w:t>无</w:t>
            </w:r>
          </w:p>
        </w:tc>
        <w:tc>
          <w:tcPr>
            <w:tcW w:w="1440" w:type="dxa"/>
          </w:tcPr>
          <w:p>
            <w:pPr>
              <w:rPr>
                <w:rFonts w:hint="eastAsia" w:ascii="仿宋_GB2312" w:hAnsi="Times New Roman" w:eastAsia="仿宋_GB2312" w:cs="Times New Roman"/>
                <w:szCs w:val="24"/>
                <w:lang w:eastAsia="zh-CN"/>
              </w:rPr>
            </w:pPr>
            <w:r>
              <w:rPr>
                <w:rFonts w:hint="eastAsia" w:ascii="仿宋_GB2312" w:hAnsi="Times New Roman" w:eastAsia="仿宋_GB2312" w:cs="Times New Roman"/>
                <w:szCs w:val="24"/>
                <w:lang w:eastAsia="zh-CN"/>
              </w:rPr>
              <w:t>无</w:t>
            </w:r>
          </w:p>
        </w:tc>
        <w:tc>
          <w:tcPr>
            <w:tcW w:w="126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180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198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c>
          <w:tcPr>
            <w:tcW w:w="720" w:type="dxa"/>
          </w:tcPr>
          <w:p>
            <w:pPr>
              <w:rPr>
                <w:rFonts w:ascii="仿宋_GB2312" w:hAnsi="Times New Roman" w:eastAsia="仿宋_GB2312" w:cs="Times New Roman"/>
                <w:szCs w:val="24"/>
              </w:rPr>
            </w:pPr>
            <w:r>
              <w:rPr>
                <w:rFonts w:hint="eastAsia" w:ascii="仿宋_GB2312" w:hAnsi="Times New Roman" w:eastAsia="仿宋_GB2312" w:cs="Times New Roman"/>
                <w:szCs w:val="24"/>
                <w:lang w:eastAsia="zh-CN"/>
              </w:rPr>
              <w:t>无</w:t>
            </w:r>
          </w:p>
        </w:tc>
      </w:tr>
    </w:tbl>
    <w:p>
      <w:pPr>
        <w:spacing w:line="380" w:lineRule="atLeast"/>
        <w:outlineLvl w:val="0"/>
        <w:rPr>
          <w:rFonts w:ascii="仿宋_GB2312" w:hAnsi="Times New Roman" w:eastAsia="仿宋_GB2312" w:cs="Times New Roman"/>
          <w:b/>
          <w:bCs/>
          <w:sz w:val="24"/>
          <w:szCs w:val="24"/>
        </w:rPr>
      </w:pPr>
    </w:p>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380" w:lineRule="atLeast"/>
        <w:jc w:val="center"/>
        <w:outlineLvl w:val="0"/>
        <w:rPr>
          <w:rFonts w:ascii="仿宋_GB2312" w:hAnsi="Times New Roman" w:eastAsia="仿宋_GB2312" w:cs="Times New Roman"/>
          <w:b/>
          <w:bCs/>
          <w:color w:val="000000"/>
          <w:sz w:val="24"/>
          <w:szCs w:val="24"/>
        </w:rPr>
      </w:pPr>
    </w:p>
    <w:p>
      <w:pPr>
        <w:rPr>
          <w:rFonts w:ascii="Times New Roman" w:hAnsi="Times New Roman" w:eastAsia="宋体" w:cs="Times New Roman"/>
          <w:color w:val="000000"/>
          <w:szCs w:val="24"/>
        </w:rPr>
      </w:pPr>
    </w:p>
    <w:p>
      <w:pPr>
        <w:widowControl/>
        <w:jc w:val="left"/>
        <w:rPr>
          <w:rFonts w:ascii="仿宋_GB2312" w:hAnsi="Times New Roman" w:eastAsia="仿宋_GB2312" w:cs="Times New Roman"/>
          <w:b/>
          <w:bCs/>
          <w:sz w:val="24"/>
          <w:szCs w:val="24"/>
        </w:rPr>
      </w:pPr>
      <w:r>
        <w:rPr>
          <w:rFonts w:ascii="仿宋_GB2312" w:hAnsi="Times New Roman" w:eastAsia="仿宋_GB2312" w:cs="Times New Roman"/>
          <w:b/>
          <w:bCs/>
          <w:sz w:val="24"/>
          <w:szCs w:val="24"/>
        </w:rPr>
        <w:br w:type="page"/>
      </w:r>
    </w:p>
    <w:p>
      <w:pPr>
        <w:spacing w:line="380" w:lineRule="atLeast"/>
        <w:jc w:val="center"/>
        <w:outlineLvl w:val="0"/>
        <w:rPr>
          <w:rFonts w:ascii="仿宋_GB2312" w:hAnsi="Times New Roman" w:eastAsia="仿宋_GB2312" w:cs="Times New Roman"/>
          <w:b/>
          <w:bCs/>
          <w:sz w:val="24"/>
          <w:szCs w:val="24"/>
        </w:rPr>
      </w:pPr>
    </w:p>
    <w:p>
      <w:pPr>
        <w:tabs>
          <w:tab w:val="left" w:pos="8280"/>
        </w:tabs>
        <w:snapToGrid w:val="0"/>
        <w:spacing w:line="360" w:lineRule="auto"/>
        <w:ind w:right="-154" w:firstLine="482" w:firstLineChars="200"/>
        <w:jc w:val="center"/>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color w:val="000000"/>
          <w:sz w:val="24"/>
          <w:szCs w:val="24"/>
        </w:rPr>
        <w:t>附件四：</w:t>
      </w:r>
      <w:r>
        <w:rPr>
          <w:rFonts w:hint="eastAsia" w:ascii="仿宋_GB2312" w:hAnsi="Times New Roman" w:eastAsia="仿宋_GB2312" w:cs="Times New Roman"/>
          <w:b/>
          <w:sz w:val="24"/>
          <w:szCs w:val="24"/>
        </w:rPr>
        <w:t>贷款债权证明文件补充清单</w:t>
      </w:r>
    </w:p>
    <w:p>
      <w:pPr>
        <w:tabs>
          <w:tab w:val="left" w:pos="8280"/>
        </w:tabs>
        <w:snapToGrid w:val="0"/>
        <w:spacing w:line="360" w:lineRule="auto"/>
        <w:ind w:right="-154" w:firstLine="482" w:firstLineChars="200"/>
        <w:jc w:val="center"/>
        <w:rPr>
          <w:rFonts w:ascii="仿宋_GB2312" w:hAnsi="Times New Roman" w:eastAsia="仿宋_GB2312" w:cs="Times New Roman"/>
          <w:b/>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名称</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szCs w:val="24"/>
                <w:lang w:eastAsia="zh-CN"/>
              </w:rPr>
              <w:t>无</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szCs w:val="24"/>
                <w:lang w:eastAsia="zh-CN"/>
              </w:rPr>
              <w:t>无</w:t>
            </w:r>
          </w:p>
        </w:tc>
        <w:tc>
          <w:tcPr>
            <w:tcW w:w="2841" w:type="dxa"/>
            <w:shd w:val="clear" w:color="auto" w:fill="auto"/>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szCs w:val="24"/>
                <w:lang w:eastAsia="zh-CN"/>
              </w:rPr>
              <w:t>无</w:t>
            </w:r>
          </w:p>
        </w:tc>
      </w:tr>
    </w:tbl>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240" w:lineRule="auto"/>
        <w:jc w:val="left"/>
        <w:outlineLvl w:val="9"/>
        <w:rPr>
          <w:rFonts w:ascii="仿宋_GB2312" w:hAnsi="Times New Roman" w:eastAsia="仿宋_GB2312" w:cs="Times New Roman"/>
          <w:b/>
          <w:bCs/>
          <w:color w:val="000000"/>
          <w:sz w:val="24"/>
          <w:szCs w:val="24"/>
        </w:rPr>
      </w:pPr>
      <w:r>
        <w:rPr>
          <w:rFonts w:ascii="仿宋_GB2312" w:hAnsi="Times New Roman" w:eastAsia="仿宋_GB2312" w:cs="Times New Roman"/>
          <w:b/>
          <w:bCs/>
          <w:color w:val="000000"/>
          <w:sz w:val="24"/>
          <w:szCs w:val="24"/>
        </w:rPr>
        <w:br w:type="page"/>
      </w:r>
    </w:p>
    <w:p>
      <w:pPr>
        <w:spacing w:line="380" w:lineRule="atLeast"/>
        <w:jc w:val="center"/>
        <w:outlineLvl w:val="0"/>
        <w:rPr>
          <w:rFonts w:ascii="仿宋_GB2312" w:hAnsi="Times New Roman" w:eastAsia="仿宋_GB2312" w:cs="Times New Roman"/>
          <w:b/>
          <w:bCs/>
          <w:color w:val="000000"/>
          <w:sz w:val="24"/>
          <w:szCs w:val="24"/>
        </w:rPr>
      </w:pP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sz w:val="24"/>
          <w:szCs w:val="24"/>
        </w:rPr>
        <w:t>附件五：贷款债权证明文件及服务协议收据</w:t>
      </w:r>
    </w:p>
    <w:p>
      <w:pPr>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致：中国长城资产管理股份有限公司山东省分公司</w:t>
      </w:r>
    </w:p>
    <w:p>
      <w:pPr>
        <w:spacing w:line="360" w:lineRule="auto"/>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根据中国长城资产管理股份有限公司山东省分公司与</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（乙方名称）于</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年</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月</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日签订的《债权转让协议》</w:t>
      </w:r>
      <w:r>
        <w:rPr>
          <w:rFonts w:hint="eastAsia"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（乙方名称）对中国长城资产管理股份有限公司山东省分公司于</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年</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月</w:t>
      </w:r>
      <w:r>
        <w:rPr>
          <w:rFonts w:hint="eastAsia" w:ascii="仿宋_GB2312" w:hAnsi="Times New Roman" w:eastAsia="仿宋_GB2312" w:cs="Times New Roman"/>
          <w:color w:val="000000"/>
          <w:sz w:val="24"/>
          <w:szCs w:val="24"/>
          <w:u w:val="single"/>
        </w:rPr>
        <w:t xml:space="preserve">    </w:t>
      </w:r>
      <w:r>
        <w:rPr>
          <w:rFonts w:ascii="仿宋_GB2312" w:hAnsi="Times New Roman" w:eastAsia="仿宋_GB2312" w:cs="Times New Roman"/>
          <w:color w:val="000000"/>
          <w:sz w:val="24"/>
          <w:szCs w:val="24"/>
        </w:rPr>
        <w:t>日</w:t>
      </w:r>
      <w:r>
        <w:rPr>
          <w:rFonts w:hint="eastAsia" w:ascii="仿宋_GB2312" w:hAnsi="Times New Roman" w:eastAsia="仿宋_GB2312" w:cs="Times New Roman"/>
          <w:color w:val="000000"/>
          <w:sz w:val="24"/>
          <w:szCs w:val="24"/>
        </w:rPr>
        <w:t>（交割日）向其移交的编号自</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至</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的贷款债权证明文件及服务协议进行了核对，</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rPr>
        <w:t>（乙方名称）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3012" w:firstLineChars="1250"/>
        <w:jc w:val="righ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乙     方：</w:t>
      </w:r>
      <w:r>
        <w:rPr>
          <w:rFonts w:hint="eastAsia" w:ascii="仿宋_GB2312" w:hAnsi="Times New Roman" w:eastAsia="仿宋_GB2312" w:cs="Times New Roman"/>
          <w:b/>
          <w:sz w:val="24"/>
          <w:szCs w:val="24"/>
          <w:u w:val="single"/>
        </w:rPr>
        <w:t xml:space="preserve">                      </w:t>
      </w:r>
      <w:r>
        <w:rPr>
          <w:rFonts w:hint="eastAsia" w:ascii="仿宋_GB2312" w:hAnsi="Times New Roman" w:eastAsia="仿宋_GB2312" w:cs="Times New Roman"/>
          <w:b/>
          <w:sz w:val="24"/>
          <w:szCs w:val="24"/>
        </w:rPr>
        <w:t>（盖章）</w:t>
      </w:r>
    </w:p>
    <w:p>
      <w:pPr>
        <w:spacing w:line="360" w:lineRule="auto"/>
        <w:ind w:firstLine="3012" w:firstLineChars="1250"/>
        <w:jc w:val="right"/>
        <w:rPr>
          <w:rFonts w:ascii="仿宋_GB2312" w:hAnsi="Times New Roman" w:eastAsia="仿宋_GB2312" w:cs="Times New Roman"/>
          <w:b/>
          <w:sz w:val="24"/>
          <w:szCs w:val="24"/>
        </w:rPr>
      </w:pPr>
    </w:p>
    <w:p>
      <w:pPr>
        <w:spacing w:line="360" w:lineRule="auto"/>
        <w:ind w:firstLine="3012" w:firstLineChars="1250"/>
        <w:jc w:val="right"/>
        <w:rPr>
          <w:rFonts w:ascii="仿宋_GB2312" w:hAnsi="Times New Roman" w:eastAsia="仿宋_GB2312" w:cs="Times New Roman"/>
          <w:b/>
          <w:sz w:val="24"/>
          <w:szCs w:val="24"/>
        </w:rPr>
      </w:pPr>
    </w:p>
    <w:p>
      <w:pPr>
        <w:spacing w:line="360" w:lineRule="auto"/>
        <w:ind w:right="480" w:firstLine="3484" w:firstLineChars="1446"/>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经 办 人：</w:t>
      </w:r>
      <w:r>
        <w:rPr>
          <w:rFonts w:hint="eastAsia" w:ascii="仿宋_GB2312" w:hAnsi="Times New Roman" w:eastAsia="仿宋_GB2312" w:cs="Times New Roman"/>
          <w:b/>
          <w:sz w:val="24"/>
          <w:szCs w:val="24"/>
          <w:u w:val="single"/>
        </w:rPr>
        <w:t xml:space="preserve">           </w:t>
      </w:r>
      <w:r>
        <w:rPr>
          <w:rFonts w:hint="eastAsia" w:ascii="仿宋_GB2312" w:hAnsi="Times New Roman" w:eastAsia="仿宋_GB2312" w:cs="Times New Roman"/>
          <w:b/>
          <w:sz w:val="24"/>
          <w:szCs w:val="24"/>
        </w:rPr>
        <w:t>（签名）</w:t>
      </w:r>
    </w:p>
    <w:p>
      <w:pPr>
        <w:spacing w:line="360" w:lineRule="auto"/>
        <w:ind w:firstLine="3012" w:firstLineChars="1250"/>
        <w:rPr>
          <w:rFonts w:ascii="仿宋_GB2312" w:hAnsi="Times New Roman" w:eastAsia="仿宋_GB2312" w:cs="Times New Roman"/>
          <w:b/>
          <w:sz w:val="24"/>
          <w:szCs w:val="24"/>
        </w:rPr>
      </w:pPr>
    </w:p>
    <w:p>
      <w:pPr>
        <w:spacing w:line="360" w:lineRule="auto"/>
        <w:ind w:firstLine="3012" w:firstLineChars="1250"/>
        <w:rPr>
          <w:rFonts w:ascii="仿宋_GB2312" w:hAnsi="Times New Roman" w:eastAsia="仿宋_GB2312" w:cs="Times New Roman"/>
          <w:b/>
          <w:sz w:val="24"/>
          <w:szCs w:val="24"/>
        </w:rPr>
      </w:pPr>
    </w:p>
    <w:p>
      <w:pPr>
        <w:spacing w:line="360" w:lineRule="auto"/>
        <w:ind w:firstLine="3735" w:firstLineChars="155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年    月    日</w:t>
      </w:r>
    </w:p>
    <w:p>
      <w:pPr>
        <w:spacing w:line="360" w:lineRule="auto"/>
        <w:ind w:firstLine="3720" w:firstLineChars="1550"/>
        <w:rPr>
          <w:rFonts w:ascii="仿宋_GB2312" w:hAnsi="Times New Roman" w:eastAsia="仿宋_GB2312" w:cs="Times New Roman"/>
          <w:sz w:val="24"/>
          <w:szCs w:val="24"/>
        </w:rPr>
      </w:pPr>
    </w:p>
    <w:p>
      <w:pPr>
        <w:spacing w:line="360" w:lineRule="auto"/>
        <w:ind w:firstLine="3720" w:firstLineChars="1550"/>
        <w:rPr>
          <w:rFonts w:ascii="仿宋_GB2312" w:hAnsi="Times New Roman" w:eastAsia="仿宋_GB2312" w:cs="Times New Roman"/>
          <w:sz w:val="24"/>
          <w:szCs w:val="24"/>
        </w:rPr>
      </w:pPr>
    </w:p>
    <w:p>
      <w:pPr>
        <w:spacing w:line="360" w:lineRule="auto"/>
        <w:ind w:firstLine="3720" w:firstLineChars="1550"/>
        <w:rPr>
          <w:rFonts w:ascii="仿宋_GB2312" w:hAnsi="Times New Roman" w:eastAsia="仿宋_GB2312" w:cs="Times New Roman"/>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债权转让协议附件六：债权转让确认函</w:t>
      </w:r>
    </w:p>
    <w:p>
      <w:pPr>
        <w:spacing w:line="360" w:lineRule="auto"/>
        <w:jc w:val="center"/>
        <w:rPr>
          <w:rFonts w:ascii="仿宋_GB2312" w:hAnsi="Times New Roman" w:eastAsia="仿宋_GB2312" w:cs="Times New Roman"/>
          <w:sz w:val="24"/>
          <w:szCs w:val="24"/>
        </w:rPr>
      </w:pPr>
      <w:r>
        <w:rPr>
          <w:rFonts w:ascii="仿宋_GB2312" w:hAnsi="Times New Roman" w:eastAsia="仿宋_GB2312" w:cs="Times New Roman"/>
          <w:i/>
          <w:color w:val="FF0000"/>
          <w:sz w:val="24"/>
          <w:szCs w:val="24"/>
        </w:rPr>
        <w:t xml:space="preserve">                                               </w:t>
      </w:r>
    </w:p>
    <w:p>
      <w:pPr>
        <w:ind w:right="480"/>
        <w:rPr>
          <w:rFonts w:ascii="仿宋_GB2312" w:hAnsi="Times New Roman" w:eastAsia="仿宋_GB2312" w:cs="Times New Roman"/>
          <w:sz w:val="24"/>
          <w:szCs w:val="24"/>
        </w:rPr>
      </w:pPr>
    </w:p>
    <w:p>
      <w:pPr>
        <w:ind w:right="480"/>
        <w:rPr>
          <w:rFonts w:ascii="仿宋_GB2312" w:hAnsi="Times New Roman" w:eastAsia="仿宋_GB2312" w:cs="Times New Roman"/>
          <w:sz w:val="24"/>
          <w:szCs w:val="24"/>
        </w:rPr>
      </w:pPr>
      <w:r>
        <w:rPr>
          <w:rFonts w:hint="eastAsia" w:ascii="仿宋_GB2312" w:hAnsi="Times New Roman" w:eastAsia="仿宋_GB2312" w:cs="Times New Roman"/>
          <w:sz w:val="24"/>
          <w:szCs w:val="24"/>
        </w:rPr>
        <w:t>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(“受让方”)</w:t>
      </w:r>
    </w:p>
    <w:p>
      <w:pPr>
        <w:spacing w:line="360" w:lineRule="auto"/>
        <w:ind w:firstLine="573"/>
        <w:rPr>
          <w:rFonts w:ascii="仿宋_GB2312" w:hAnsi="Times New Roman" w:eastAsia="仿宋_GB2312" w:cs="Times New Roman"/>
          <w:sz w:val="24"/>
          <w:szCs w:val="24"/>
        </w:rPr>
      </w:pPr>
      <w:r>
        <w:rPr>
          <w:rFonts w:hint="eastAsia" w:ascii="仿宋_GB2312" w:hAnsi="Times New Roman" w:eastAsia="仿宋_GB2312" w:cs="Times New Roman"/>
          <w:sz w:val="24"/>
          <w:szCs w:val="24"/>
        </w:rPr>
        <w:t>根据中国长城资产管理股份有限公司山东省分公司(“转让方”)与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(“受让方”)于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日签订的《债权转让协议》，“转让方”已经将其于下述贷款债权项下拥有的全部权益，于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日依法转让给“受让方”。“转让方”特此确认该等贷款债权已向“受让方”转让的事实。</w:t>
      </w:r>
    </w:p>
    <w:p>
      <w:pPr>
        <w:spacing w:line="440" w:lineRule="exact"/>
        <w:ind w:firstLine="6960" w:firstLineChars="2900"/>
        <w:rPr>
          <w:rFonts w:hint="default" w:ascii="仿宋_GB2312" w:hAnsi="Times New Roman" w:eastAsia="仿宋_GB2312" w:cs="Times New Roman"/>
          <w:sz w:val="24"/>
          <w:szCs w:val="24"/>
          <w:lang w:val="en-US" w:eastAsia="zh-CN"/>
        </w:rPr>
      </w:pPr>
      <w:r>
        <w:rPr>
          <w:rFonts w:hint="eastAsia" w:ascii="仿宋_GB2312" w:eastAsia="仿宋_GB2312" w:cs="Times New Roman"/>
          <w:sz w:val="24"/>
          <w:szCs w:val="24"/>
          <w:lang w:val="en-US" w:eastAsia="zh-CN"/>
        </w:rPr>
        <w:t>单位：元</w:t>
      </w:r>
    </w:p>
    <w:tbl>
      <w:tblPr>
        <w:tblStyle w:val="4"/>
        <w:tblW w:w="8729" w:type="dxa"/>
        <w:tblInd w:w="0" w:type="dxa"/>
        <w:tblLayout w:type="fixed"/>
        <w:tblCellMar>
          <w:top w:w="0" w:type="dxa"/>
          <w:left w:w="108" w:type="dxa"/>
          <w:bottom w:w="0" w:type="dxa"/>
          <w:right w:w="108" w:type="dxa"/>
        </w:tblCellMar>
      </w:tblPr>
      <w:tblGrid>
        <w:gridCol w:w="397"/>
        <w:gridCol w:w="1071"/>
        <w:gridCol w:w="1144"/>
        <w:gridCol w:w="1926"/>
        <w:gridCol w:w="2004"/>
        <w:gridCol w:w="1980"/>
      </w:tblGrid>
      <w:tr>
        <w:tblPrEx>
          <w:tblCellMar>
            <w:top w:w="0" w:type="dxa"/>
            <w:left w:w="108" w:type="dxa"/>
            <w:bottom w:w="0" w:type="dxa"/>
            <w:right w:w="108" w:type="dxa"/>
          </w:tblCellMar>
        </w:tblPrEx>
        <w:trPr>
          <w:trHeight w:val="443"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借款人</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贷款方式</w:t>
            </w:r>
          </w:p>
        </w:tc>
        <w:tc>
          <w:tcPr>
            <w:tcW w:w="19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本金</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欠息</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债权</w:t>
            </w:r>
            <w:r>
              <w:rPr>
                <w:rFonts w:hint="eastAsia" w:asciiTheme="minorEastAsia" w:hAnsiTheme="minorEastAsia" w:eastAsiaTheme="minorEastAsia" w:cstheme="minorEastAsia"/>
                <w:color w:val="000000"/>
                <w:kern w:val="0"/>
                <w:szCs w:val="21"/>
              </w:rPr>
              <w:t>合计</w:t>
            </w:r>
          </w:p>
        </w:tc>
      </w:tr>
      <w:tr>
        <w:tblPrEx>
          <w:tblCellMar>
            <w:top w:w="0" w:type="dxa"/>
            <w:left w:w="108" w:type="dxa"/>
            <w:bottom w:w="0" w:type="dxa"/>
            <w:right w:w="108" w:type="dxa"/>
          </w:tblCellMar>
        </w:tblPrEx>
        <w:trPr>
          <w:trHeight w:val="3564"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山东宝隆生物降解材料股份有限公司</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rPr>
              <w:t>由宝隆生物名下的房地产提供抵押担保，法定代表人孙超与其配偶齐舒展、实际控制人孙隆学与其配偶管成菊个人连带责任保证担保。</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2"/>
                <w:szCs w:val="22"/>
                <w:u w:val="none"/>
                <w:lang w:val="en-US" w:eastAsia="zh-CN" w:bidi="ar"/>
              </w:rPr>
              <w:t>8,000,000.00</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3,784,954.96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rPr>
              <w:t>11,784,954.96</w:t>
            </w:r>
          </w:p>
        </w:tc>
      </w:tr>
      <w:tr>
        <w:tblPrEx>
          <w:tblCellMar>
            <w:top w:w="0" w:type="dxa"/>
            <w:left w:w="108" w:type="dxa"/>
            <w:bottom w:w="0" w:type="dxa"/>
            <w:right w:w="108" w:type="dxa"/>
          </w:tblCellMar>
        </w:tblPrEx>
        <w:trPr>
          <w:trHeight w:val="347" w:hRule="atLeast"/>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合计</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w:t>
            </w:r>
          </w:p>
        </w:tc>
        <w:tc>
          <w:tcPr>
            <w:tcW w:w="19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2"/>
                <w:szCs w:val="22"/>
                <w:u w:val="none"/>
                <w:lang w:val="en-US" w:eastAsia="zh-CN" w:bidi="ar"/>
              </w:rPr>
              <w:t>8,000,000.00</w:t>
            </w:r>
          </w:p>
        </w:tc>
        <w:tc>
          <w:tcPr>
            <w:tcW w:w="2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3,784,954.96 </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szCs w:val="21"/>
              </w:rPr>
              <w:t>11,784,954.96</w:t>
            </w:r>
          </w:p>
        </w:tc>
      </w:tr>
    </w:tbl>
    <w:p>
      <w:pPr>
        <w:spacing w:line="400" w:lineRule="exact"/>
        <w:rPr>
          <w:rFonts w:hint="eastAsia" w:ascii="仿宋_GB2312" w:hAnsi="Times New Roman" w:eastAsia="仿宋_GB2312" w:cs="Times New Roman"/>
          <w:sz w:val="24"/>
          <w:szCs w:val="24"/>
          <w:lang w:eastAsia="zh-CN"/>
        </w:rPr>
      </w:pPr>
    </w:p>
    <w:p>
      <w:pPr>
        <w:spacing w:line="400" w:lineRule="exact"/>
        <w:rPr>
          <w:rFonts w:hint="eastAsia" w:ascii="仿宋_GB2312" w:hAnsi="Times New Roman" w:eastAsia="仿宋_GB2312" w:cs="Times New Roman"/>
          <w:sz w:val="24"/>
          <w:szCs w:val="24"/>
          <w:lang w:eastAsia="zh-CN"/>
        </w:rPr>
      </w:pPr>
    </w:p>
    <w:p>
      <w:pPr>
        <w:spacing w:line="400" w:lineRule="exact"/>
        <w:rPr>
          <w:rFonts w:hint="eastAsia" w:ascii="仿宋_GB2312" w:hAnsi="Times New Roman" w:eastAsia="仿宋_GB2312" w:cs="Times New Roman"/>
          <w:sz w:val="24"/>
          <w:szCs w:val="24"/>
          <w:lang w:eastAsia="zh-CN"/>
        </w:rPr>
      </w:pPr>
    </w:p>
    <w:p>
      <w:pPr>
        <w:spacing w:line="400" w:lineRule="exact"/>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注：利息计算可能因计算方法等原因与债权资料及或司法文书确认的不一致，具体以债权资料及司法文书确认为准。</w:t>
      </w:r>
    </w:p>
    <w:p>
      <w:pPr>
        <w:spacing w:line="380" w:lineRule="atLeast"/>
        <w:jc w:val="center"/>
        <w:outlineLvl w:val="0"/>
        <w:rPr>
          <w:rFonts w:ascii="仿宋_GB2312" w:hAnsi="Times New Roman" w:eastAsia="仿宋_GB2312" w:cs="Times New Roman"/>
          <w:b/>
          <w:bCs/>
          <w:sz w:val="24"/>
          <w:szCs w:val="24"/>
        </w:rPr>
      </w:pPr>
    </w:p>
    <w:p>
      <w:pPr>
        <w:spacing w:line="380" w:lineRule="atLeast"/>
        <w:jc w:val="center"/>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 xml:space="preserve">                      中国长城资产管理股份有限公司</w:t>
      </w:r>
      <w:r>
        <w:rPr>
          <w:rFonts w:hint="eastAsia" w:ascii="仿宋_GB2312" w:hAnsi="Times New Roman" w:eastAsia="仿宋_GB2312" w:cs="Times New Roman"/>
          <w:b/>
          <w:bCs/>
          <w:color w:val="000000"/>
          <w:sz w:val="24"/>
          <w:szCs w:val="24"/>
        </w:rPr>
        <w:t>山东省</w:t>
      </w:r>
      <w:r>
        <w:rPr>
          <w:rFonts w:hint="eastAsia" w:ascii="仿宋_GB2312" w:hAnsi="Times New Roman" w:eastAsia="仿宋_GB2312" w:cs="Times New Roman"/>
          <w:b/>
          <w:bCs/>
          <w:sz w:val="24"/>
          <w:szCs w:val="24"/>
        </w:rPr>
        <w:t>分公司（盖章）</w:t>
      </w:r>
    </w:p>
    <w:p>
      <w:pPr>
        <w:rPr>
          <w:rFonts w:ascii="仿宋_GB2312" w:hAnsi="Times New Roman" w:eastAsia="仿宋_GB2312" w:cs="Times New Roman"/>
          <w:szCs w:val="24"/>
        </w:rPr>
      </w:pPr>
    </w:p>
    <w:p>
      <w:pPr>
        <w:spacing w:line="380" w:lineRule="atLeast"/>
        <w:outlineLvl w:val="0"/>
        <w:rPr>
          <w:rFonts w:ascii="仿宋_GB2312" w:hAnsi="Times New Roman" w:eastAsia="仿宋_GB2312" w:cs="Times New Roman"/>
          <w:b/>
          <w:bCs/>
          <w:sz w:val="24"/>
          <w:szCs w:val="24"/>
        </w:rPr>
      </w:pPr>
      <w:r>
        <w:rPr>
          <w:rFonts w:hint="eastAsia" w:ascii="仿宋_GB2312" w:hAnsi="Times New Roman" w:eastAsia="仿宋_GB2312" w:cs="Times New Roman"/>
          <w:b/>
          <w:bCs/>
          <w:color w:val="000000"/>
          <w:sz w:val="24"/>
          <w:szCs w:val="24"/>
        </w:rPr>
        <w:t xml:space="preserve">                                        </w:t>
      </w:r>
      <w:r>
        <w:rPr>
          <w:rFonts w:hint="eastAsia" w:ascii="仿宋_GB2312" w:hAnsi="Times New Roman" w:eastAsia="仿宋_GB2312" w:cs="Times New Roman"/>
          <w:b/>
          <w:bCs/>
          <w:sz w:val="24"/>
          <w:szCs w:val="24"/>
        </w:rPr>
        <w:t xml:space="preserve"> 年     月     日 </w:t>
      </w:r>
    </w:p>
    <w:p>
      <w:pPr>
        <w:rPr>
          <w:rFonts w:ascii="仿宋_GB2312" w:hAnsi="Times New Roman" w:eastAsia="仿宋_GB2312" w:cs="Times New Roman"/>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jc w:val="center"/>
        <w:rPr>
          <w:rFonts w:ascii="仿宋_GB2312" w:hAnsi="Times New Roman" w:eastAsia="仿宋_GB2312" w:cs="Times New Roman"/>
          <w:b/>
          <w:sz w:val="24"/>
          <w:szCs w:val="24"/>
        </w:rPr>
      </w:pPr>
    </w:p>
    <w:p>
      <w:pPr>
        <w:spacing w:line="380" w:lineRule="atLeast"/>
        <w:jc w:val="center"/>
        <w:outlineLvl w:val="0"/>
        <w:rPr>
          <w:rFonts w:ascii="仿宋_GB2312" w:hAnsi="Times New Roman" w:eastAsia="仿宋_GB2312" w:cs="Times New Roman"/>
          <w:b/>
          <w:bCs/>
          <w:color w:val="000000"/>
          <w:sz w:val="24"/>
          <w:szCs w:val="24"/>
        </w:rPr>
      </w:pPr>
      <w:r>
        <w:rPr>
          <w:rFonts w:hint="eastAsia" w:ascii="仿宋_GB2312" w:hAnsi="Times New Roman" w:eastAsia="仿宋_GB2312" w:cs="Times New Roman"/>
          <w:b/>
          <w:bCs/>
          <w:sz w:val="24"/>
          <w:szCs w:val="24"/>
        </w:rPr>
        <w:t>债权转让协议</w:t>
      </w:r>
      <w:r>
        <w:rPr>
          <w:rFonts w:ascii="仿宋_GB2312" w:hAnsi="Times New Roman" w:eastAsia="仿宋_GB2312" w:cs="Times New Roman"/>
          <w:b/>
          <w:bCs/>
          <w:color w:val="000000"/>
          <w:sz w:val="24"/>
          <w:szCs w:val="24"/>
        </w:rPr>
        <w:t>附件</w:t>
      </w:r>
      <w:r>
        <w:rPr>
          <w:rFonts w:hint="eastAsia" w:ascii="仿宋_GB2312" w:hAnsi="Times New Roman" w:eastAsia="仿宋_GB2312" w:cs="Times New Roman"/>
          <w:b/>
          <w:bCs/>
          <w:color w:val="000000"/>
          <w:sz w:val="24"/>
          <w:szCs w:val="24"/>
        </w:rPr>
        <w:t>七</w:t>
      </w:r>
      <w:r>
        <w:rPr>
          <w:rFonts w:ascii="仿宋_GB2312" w:hAnsi="Times New Roman" w:eastAsia="仿宋_GB2312" w:cs="Times New Roman"/>
          <w:b/>
          <w:bCs/>
          <w:color w:val="000000"/>
          <w:sz w:val="24"/>
          <w:szCs w:val="24"/>
        </w:rPr>
        <w:t>：</w:t>
      </w:r>
      <w:r>
        <w:rPr>
          <w:rFonts w:hint="eastAsia" w:ascii="仿宋_GB2312" w:hAnsi="Times New Roman" w:eastAsia="仿宋_GB2312" w:cs="Times New Roman"/>
          <w:b/>
          <w:bCs/>
          <w:color w:val="000000"/>
          <w:sz w:val="24"/>
          <w:szCs w:val="24"/>
        </w:rPr>
        <w:t>协议条款说明记录单</w:t>
      </w:r>
    </w:p>
    <w:p>
      <w:pPr>
        <w:spacing w:line="360" w:lineRule="auto"/>
        <w:jc w:val="center"/>
        <w:rPr>
          <w:rFonts w:ascii="仿宋_GB2312" w:hAnsi="Times New Roman" w:eastAsia="仿宋_GB2312" w:cs="Times New Roman"/>
          <w:color w:val="000000"/>
          <w:sz w:val="24"/>
          <w:szCs w:val="24"/>
        </w:rPr>
      </w:pPr>
    </w:p>
    <w:p>
      <w:pPr>
        <w:wordWrap w:val="0"/>
        <w:jc w:val="righ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hint="eastAsia" w:ascii="仿宋_GB2312" w:hAnsi="Times New Roman" w:eastAsia="仿宋_GB2312" w:cs="Times New Roman"/>
          <w:color w:val="000000"/>
          <w:sz w:val="24"/>
          <w:szCs w:val="24"/>
          <w:u w:val="single"/>
        </w:rPr>
        <w:t>有如下问题</w:t>
      </w:r>
      <w:r>
        <w:rPr>
          <w:rFonts w:hint="eastAsia" w:ascii="仿宋_GB2312" w:hAnsi="Times New Roman" w:eastAsia="仿宋_GB2312" w:cs="Times New Roman"/>
          <w:color w:val="000000"/>
          <w:sz w:val="24"/>
          <w:szCs w:val="24"/>
        </w:rPr>
        <w:t>需要甲方进行解释说明：</w:t>
      </w:r>
    </w:p>
    <w:p>
      <w:pPr>
        <w:spacing w:line="360" w:lineRule="auto"/>
        <w:ind w:firstLine="573"/>
        <w:rPr>
          <w:rFonts w:ascii="仿宋_GB2312" w:hAnsi="Times New Roman" w:eastAsia="仿宋_GB2312" w:cs="Times New Roman"/>
          <w:color w:val="000000"/>
          <w:sz w:val="24"/>
          <w:szCs w:val="24"/>
          <w:u w:val="single"/>
        </w:rPr>
      </w:pPr>
      <w:r>
        <w:rPr>
          <w:rFonts w:hint="eastAsia" w:ascii="仿宋_GB2312" w:hAnsi="Times New Roman" w:eastAsia="仿宋_GB2312" w:cs="Times New Roman"/>
          <w:color w:val="000000"/>
          <w:sz w:val="24"/>
          <w:szCs w:val="24"/>
        </w:rPr>
        <w:t>1、</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u w:val="single"/>
          <w:lang w:eastAsia="zh-CN"/>
        </w:rPr>
        <w:t>无</w:t>
      </w:r>
      <w:r>
        <w:rPr>
          <w:rFonts w:hint="eastAsia" w:ascii="仿宋_GB2312" w:hAnsi="Times New Roman" w:eastAsia="仿宋_GB2312" w:cs="Times New Roman"/>
          <w:color w:val="000000"/>
          <w:sz w:val="24"/>
          <w:szCs w:val="24"/>
          <w:u w:val="single"/>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2、</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u w:val="single"/>
          <w:lang w:eastAsia="zh-CN"/>
        </w:rPr>
        <w:t>无</w:t>
      </w:r>
      <w:r>
        <w:rPr>
          <w:rFonts w:hint="eastAsia" w:ascii="仿宋_GB2312" w:hAnsi="Times New Roman" w:eastAsia="仿宋_GB2312" w:cs="Times New Roman"/>
          <w:color w:val="000000"/>
          <w:sz w:val="24"/>
          <w:szCs w:val="24"/>
          <w:u w:val="single"/>
        </w:rPr>
        <w:t xml:space="preserve">                           </w:t>
      </w:r>
    </w:p>
    <w:p>
      <w:pPr>
        <w:spacing w:line="360" w:lineRule="auto"/>
        <w:ind w:firstLine="573"/>
        <w:rPr>
          <w:rFonts w:ascii="仿宋_GB2312" w:hAnsi="Times New Roman" w:eastAsia="仿宋_GB2312" w:cs="Times New Roman"/>
          <w:color w:val="000000"/>
          <w:sz w:val="24"/>
          <w:szCs w:val="24"/>
          <w:u w:val="single"/>
        </w:rPr>
      </w:pPr>
      <w:r>
        <w:rPr>
          <w:rFonts w:hint="eastAsia" w:ascii="仿宋_GB2312" w:hAnsi="Times New Roman" w:eastAsia="仿宋_GB2312" w:cs="Times New Roman"/>
          <w:color w:val="000000"/>
          <w:sz w:val="24"/>
          <w:szCs w:val="24"/>
        </w:rPr>
        <w:t>3、</w:t>
      </w:r>
      <w:r>
        <w:rPr>
          <w:rFonts w:hint="eastAsia" w:ascii="仿宋_GB2312" w:hAnsi="Times New Roman" w:eastAsia="仿宋_GB2312" w:cs="Times New Roman"/>
          <w:color w:val="000000"/>
          <w:sz w:val="24"/>
          <w:szCs w:val="24"/>
          <w:u w:val="single"/>
        </w:rPr>
        <w:t xml:space="preserve">       </w:t>
      </w:r>
      <w:r>
        <w:rPr>
          <w:rFonts w:hint="eastAsia" w:ascii="仿宋_GB2312" w:hAnsi="Times New Roman" w:eastAsia="仿宋_GB2312" w:cs="Times New Roman"/>
          <w:color w:val="000000"/>
          <w:sz w:val="24"/>
          <w:szCs w:val="24"/>
          <w:u w:val="single"/>
          <w:lang w:eastAsia="zh-CN"/>
        </w:rPr>
        <w:t>无</w:t>
      </w:r>
      <w:r>
        <w:rPr>
          <w:rFonts w:hint="eastAsia" w:ascii="仿宋_GB2312" w:hAnsi="Times New Roman" w:eastAsia="仿宋_GB2312" w:cs="Times New Roman"/>
          <w:color w:val="000000"/>
          <w:sz w:val="24"/>
          <w:szCs w:val="24"/>
          <w:u w:val="single"/>
        </w:rPr>
        <w:t xml:space="preserve">                           </w:t>
      </w:r>
    </w:p>
    <w:p>
      <w:pPr>
        <w:spacing w:line="360" w:lineRule="auto"/>
        <w:ind w:firstLine="573"/>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甲方应乙方要求，对以上问题进行了解释说明，在此基础上，乙方确认已知悉并全面理解协议条款尤其是黑体部分的确切含义并予以接受。</w:t>
      </w:r>
    </w:p>
    <w:p>
      <w:pPr>
        <w:spacing w:line="360" w:lineRule="auto"/>
        <w:ind w:firstLine="573"/>
        <w:rPr>
          <w:rFonts w:ascii="仿宋_GB2312" w:hAnsi="Times New Roman" w:eastAsia="仿宋_GB2312" w:cs="Times New Roman"/>
          <w:color w:val="000000"/>
          <w:sz w:val="24"/>
          <w:szCs w:val="24"/>
          <w:u w:val="single"/>
        </w:rPr>
      </w:pPr>
    </w:p>
    <w:p>
      <w:pPr>
        <w:spacing w:line="380" w:lineRule="atLeast"/>
        <w:outlineLvl w:val="0"/>
        <w:rPr>
          <w:rFonts w:ascii="仿宋_GB2312" w:hAnsi="Times New Roman" w:eastAsia="仿宋_GB2312" w:cs="Times New Roman"/>
          <w:b/>
          <w:color w:val="000000"/>
          <w:sz w:val="24"/>
          <w:szCs w:val="24"/>
        </w:rPr>
      </w:pPr>
    </w:p>
    <w:p>
      <w:pPr>
        <w:spacing w:line="380" w:lineRule="atLeast"/>
        <w:ind w:firstLine="354" w:firstLineChars="147"/>
        <w:outlineLvl w:val="0"/>
        <w:rPr>
          <w:rFonts w:ascii="仿宋_GB2312" w:hAnsi="Times New Roman" w:eastAsia="仿宋_GB2312" w:cs="Times New Roman"/>
          <w:b/>
          <w:color w:val="000000"/>
          <w:sz w:val="24"/>
          <w:szCs w:val="24"/>
        </w:rPr>
      </w:pPr>
      <w:r>
        <w:rPr>
          <w:rFonts w:ascii="仿宋_GB2312" w:hAnsi="Times New Roman" w:eastAsia="仿宋_GB2312" w:cs="Times New Roman"/>
          <w:b/>
          <w:color w:val="000000"/>
          <w:sz w:val="24"/>
          <w:szCs w:val="24"/>
        </w:rPr>
        <w:t>甲方：中国长城资产管理股份有限公司</w:t>
      </w:r>
      <w:r>
        <w:rPr>
          <w:rFonts w:hint="eastAsia" w:ascii="仿宋_GB2312" w:hAnsi="Times New Roman" w:eastAsia="仿宋_GB2312" w:cs="Times New Roman"/>
          <w:b/>
          <w:color w:val="000000"/>
          <w:sz w:val="24"/>
          <w:szCs w:val="24"/>
        </w:rPr>
        <w:t>山东省</w:t>
      </w:r>
      <w:r>
        <w:rPr>
          <w:rFonts w:ascii="仿宋_GB2312" w:hAnsi="Times New Roman" w:eastAsia="仿宋_GB2312" w:cs="Times New Roman"/>
          <w:b/>
          <w:color w:val="000000"/>
          <w:sz w:val="24"/>
          <w:szCs w:val="24"/>
        </w:rPr>
        <w:t>分公司（盖章）</w:t>
      </w: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p>
    <w:p>
      <w:pPr>
        <w:ind w:firstLine="472"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 w:val="24"/>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 w:val="24"/>
          <w:szCs w:val="24"/>
        </w:rPr>
      </w:pPr>
      <w:r>
        <w:rPr>
          <w:rFonts w:ascii="仿宋_GB2312" w:hAnsi="Times New Roman" w:eastAsia="仿宋_GB2312" w:cs="Times New Roman"/>
          <w:b/>
          <w:color w:val="000000"/>
          <w:szCs w:val="24"/>
        </w:rPr>
        <w:t>乙方：【</w:t>
      </w:r>
      <w:r>
        <w:rPr>
          <w:rFonts w:hint="eastAsia" w:ascii="仿宋_GB2312" w:hAnsi="Times New Roman" w:eastAsia="仿宋_GB2312" w:cs="Times New Roman"/>
          <w:b/>
          <w:color w:val="000000"/>
          <w:szCs w:val="24"/>
        </w:rPr>
        <w:t xml:space="preserve">                 </w:t>
      </w:r>
      <w:r>
        <w:rPr>
          <w:rFonts w:ascii="仿宋_GB2312" w:hAnsi="Times New Roman" w:eastAsia="仿宋_GB2312" w:cs="Times New Roman"/>
          <w:b/>
          <w:color w:val="000000"/>
          <w:szCs w:val="24"/>
        </w:rPr>
        <w:t>】（盖章）</w:t>
      </w: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tabs>
          <w:tab w:val="left" w:pos="980"/>
        </w:tabs>
        <w:spacing w:after="120" w:line="380" w:lineRule="atLeast"/>
        <w:ind w:left="420" w:leftChars="200"/>
        <w:rPr>
          <w:rFonts w:ascii="仿宋_GB2312" w:hAnsi="Times New Roman" w:eastAsia="仿宋_GB2312" w:cs="Times New Roman"/>
          <w:b/>
          <w:color w:val="000000"/>
          <w:szCs w:val="24"/>
        </w:rPr>
      </w:pPr>
    </w:p>
    <w:p>
      <w:pPr>
        <w:ind w:firstLine="413" w:firstLineChars="196"/>
        <w:rPr>
          <w:rFonts w:ascii="仿宋_GB2312" w:hAnsi="Times New Roman" w:eastAsia="仿宋_GB2312" w:cs="Times New Roman"/>
          <w:color w:val="000000"/>
          <w:sz w:val="24"/>
          <w:szCs w:val="24"/>
        </w:rPr>
      </w:pPr>
      <w:r>
        <w:rPr>
          <w:rFonts w:hint="eastAsia" w:ascii="仿宋_GB2312" w:hAnsi="Times New Roman" w:eastAsia="仿宋_GB2312" w:cs="Times New Roman"/>
          <w:b/>
          <w:color w:val="000000"/>
          <w:szCs w:val="24"/>
        </w:rPr>
        <w:t>经办人</w:t>
      </w:r>
      <w:r>
        <w:rPr>
          <w:rFonts w:ascii="仿宋_GB2312" w:hAnsi="Times New Roman" w:eastAsia="仿宋_GB2312" w:cs="Times New Roman"/>
          <w:b/>
          <w:color w:val="000000"/>
          <w:sz w:val="24"/>
          <w:szCs w:val="24"/>
        </w:rPr>
        <w:t>（签字）：</w:t>
      </w:r>
      <w:r>
        <w:rPr>
          <w:rFonts w:hint="eastAsia" w:ascii="仿宋_GB2312" w:hAnsi="Times New Roman" w:eastAsia="仿宋_GB2312" w:cs="Times New Roman"/>
          <w:b/>
          <w:color w:val="000000"/>
          <w:sz w:val="24"/>
          <w:szCs w:val="24"/>
          <w:u w:val="single"/>
        </w:rPr>
        <w:t xml:space="preserve">                          </w:t>
      </w:r>
    </w:p>
    <w:p>
      <w:pPr>
        <w:spacing w:line="380" w:lineRule="atLeast"/>
        <w:jc w:val="center"/>
        <w:outlineLvl w:val="0"/>
        <w:rPr>
          <w:rFonts w:ascii="仿宋_GB2312" w:hAnsi="Times New Roman" w:eastAsia="仿宋_GB2312" w:cs="Times New Roman"/>
          <w:b/>
          <w:bCs/>
          <w:color w:val="000000"/>
          <w:sz w:val="24"/>
          <w:szCs w:val="24"/>
        </w:rPr>
      </w:pPr>
    </w:p>
    <w:p>
      <w:pPr>
        <w:rPr>
          <w:rFonts w:ascii="Times New Roman" w:hAnsi="Times New Roman" w:eastAsia="宋体" w:cs="Times New Roman"/>
          <w:color w:val="000000"/>
          <w:szCs w:val="24"/>
        </w:rPr>
      </w:pPr>
    </w:p>
    <w:p>
      <w:pPr>
        <w:rPr>
          <w:rFonts w:ascii="Times New Roman" w:hAnsi="Times New Roman" w:eastAsia="宋体" w:cs="Times New Roman"/>
          <w:color w:val="000000"/>
          <w:sz w:val="24"/>
          <w:szCs w:val="24"/>
        </w:rPr>
      </w:pPr>
      <w:r>
        <w:rPr>
          <w:rFonts w:ascii="Times New Roman" w:hAnsi="Times New Roman" w:eastAsia="宋体" w:cs="Times New Roman"/>
          <w:color w:val="000000"/>
          <w:szCs w:val="24"/>
        </w:rPr>
        <w:br w:type="textWrapping"/>
      </w:r>
    </w:p>
    <w:p>
      <w:pPr>
        <w:widowControl/>
        <w:jc w:val="left"/>
        <w:rPr>
          <w:rFonts w:ascii="Times New Roman" w:hAnsi="Times New Roman" w:eastAsia="宋体" w:cs="Times New Roman"/>
          <w:color w:val="000000"/>
          <w:sz w:val="24"/>
          <w:szCs w:val="24"/>
        </w:rPr>
      </w:pPr>
    </w:p>
    <w:p>
      <w:pPr>
        <w:widowControl/>
        <w:jc w:val="left"/>
        <w:rPr>
          <w:rFonts w:ascii="Times New Roman" w:hAnsi="Times New Roman" w:eastAsia="宋体" w:cs="Times New Roman"/>
          <w:color w:val="000000"/>
          <w:sz w:val="24"/>
          <w:szCs w:val="24"/>
        </w:rPr>
      </w:pPr>
    </w:p>
    <w:p>
      <w:pPr>
        <w:widowControl/>
        <w:jc w:val="left"/>
        <w:rPr>
          <w:rFonts w:ascii="Times New Roman" w:hAnsi="Times New Roman" w:eastAsia="宋体" w:cs="Times New Roman"/>
          <w:color w:val="000000"/>
          <w:sz w:val="24"/>
          <w:szCs w:val="24"/>
        </w:rPr>
      </w:pPr>
    </w:p>
    <w:p>
      <w:pPr>
        <w:widowControl/>
        <w:jc w:val="left"/>
        <w:rPr>
          <w:rFonts w:ascii="Times New Roman" w:hAnsi="Times New Roman" w:eastAsia="宋体" w:cs="Times New Roman"/>
          <w:color w:val="000000"/>
          <w:sz w:val="24"/>
          <w:szCs w:val="24"/>
        </w:rPr>
      </w:pPr>
    </w:p>
    <w:p>
      <w:pPr>
        <w:rPr>
          <w:rFonts w:ascii="Times New Roman" w:hAnsi="Times New Roman" w:eastAsia="宋体" w:cs="Times New Roman"/>
          <w:color w:val="000000"/>
          <w:sz w:val="24"/>
          <w:szCs w:val="24"/>
        </w:rPr>
      </w:pPr>
    </w:p>
    <w:p>
      <w:pPr>
        <w:spacing w:line="360" w:lineRule="auto"/>
        <w:jc w:val="center"/>
        <w:rPr>
          <w:rFonts w:hint="eastAsia" w:ascii="仿宋_GB2312" w:hAnsi="Times New Roman" w:eastAsia="仿宋_GB2312" w:cs="Times New Roman"/>
          <w:b/>
          <w:bCs/>
          <w:i w:val="0"/>
          <w:color w:val="auto"/>
          <w:sz w:val="24"/>
          <w:szCs w:val="24"/>
        </w:rPr>
      </w:pPr>
      <w:r>
        <w:rPr>
          <w:rFonts w:hint="eastAsia" w:ascii="仿宋_GB2312" w:hAnsi="Times New Roman" w:eastAsia="仿宋_GB2312" w:cs="Times New Roman"/>
          <w:b/>
          <w:bCs/>
          <w:sz w:val="24"/>
          <w:szCs w:val="24"/>
        </w:rPr>
        <w:t>债权转让协议</w:t>
      </w:r>
      <w:r>
        <w:rPr>
          <w:rFonts w:hint="eastAsia" w:ascii="仿宋_GB2312" w:hAnsi="Times New Roman" w:eastAsia="仿宋_GB2312" w:cs="Times New Roman"/>
          <w:b/>
          <w:bCs/>
          <w:i w:val="0"/>
          <w:color w:val="auto"/>
          <w:sz w:val="24"/>
          <w:szCs w:val="24"/>
        </w:rPr>
        <w:t>附件八：拍卖成交确认书</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拍卖人（甲方）：</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买受人（乙方）：</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日在拍卖人于</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举行的拍卖会上，依照《中华人民共和国合同法》、《中华人民共和国拍卖法》及其他有关法规的规定，根据拍卖结果签署本《拍卖成交确认书》，主要条款如下：</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 成交的拍卖标的：</w:t>
      </w:r>
    </w:p>
    <w:tbl>
      <w:tblPr>
        <w:tblStyle w:val="4"/>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0"/>
        <w:gridCol w:w="1980"/>
        <w:gridCol w:w="149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编号</w:t>
            </w:r>
          </w:p>
        </w:tc>
        <w:tc>
          <w:tcPr>
            <w:tcW w:w="2520"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贷款债权本金（万元）</w:t>
            </w:r>
          </w:p>
        </w:tc>
        <w:tc>
          <w:tcPr>
            <w:tcW w:w="1980"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成交价款（万元）</w:t>
            </w:r>
          </w:p>
        </w:tc>
        <w:tc>
          <w:tcPr>
            <w:tcW w:w="1496"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佣金率（%）</w:t>
            </w:r>
          </w:p>
        </w:tc>
        <w:tc>
          <w:tcPr>
            <w:tcW w:w="1800"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佣金额（万元）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p>
        </w:tc>
        <w:tc>
          <w:tcPr>
            <w:tcW w:w="2520" w:type="dxa"/>
            <w:shd w:val="clear" w:color="auto" w:fill="auto"/>
          </w:tcPr>
          <w:p>
            <w:pPr>
              <w:spacing w:line="360" w:lineRule="auto"/>
              <w:rPr>
                <w:rFonts w:ascii="仿宋_GB2312" w:hAnsi="Times New Roman" w:eastAsia="仿宋_GB2312" w:cs="Times New Roman"/>
                <w:sz w:val="24"/>
                <w:szCs w:val="24"/>
              </w:rPr>
            </w:pPr>
          </w:p>
        </w:tc>
        <w:tc>
          <w:tcPr>
            <w:tcW w:w="1980" w:type="dxa"/>
            <w:shd w:val="clear" w:color="auto" w:fill="auto"/>
          </w:tcPr>
          <w:p>
            <w:pPr>
              <w:spacing w:line="360" w:lineRule="auto"/>
              <w:rPr>
                <w:rFonts w:ascii="仿宋_GB2312" w:hAnsi="Times New Roman" w:eastAsia="仿宋_GB2312" w:cs="Times New Roman"/>
                <w:sz w:val="24"/>
                <w:szCs w:val="24"/>
              </w:rPr>
            </w:pPr>
          </w:p>
        </w:tc>
        <w:tc>
          <w:tcPr>
            <w:tcW w:w="1496" w:type="dxa"/>
            <w:shd w:val="clear" w:color="auto" w:fill="auto"/>
          </w:tcPr>
          <w:p>
            <w:pPr>
              <w:spacing w:line="360" w:lineRule="auto"/>
              <w:rPr>
                <w:rFonts w:ascii="仿宋_GB2312" w:hAnsi="Times New Roman" w:eastAsia="仿宋_GB2312" w:cs="Times New Roman"/>
                <w:sz w:val="24"/>
                <w:szCs w:val="24"/>
              </w:rPr>
            </w:pPr>
          </w:p>
        </w:tc>
        <w:tc>
          <w:tcPr>
            <w:tcW w:w="1800" w:type="dxa"/>
            <w:shd w:val="clear" w:color="auto" w:fill="auto"/>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p>
        </w:tc>
        <w:tc>
          <w:tcPr>
            <w:tcW w:w="2520" w:type="dxa"/>
            <w:shd w:val="clear" w:color="auto" w:fill="auto"/>
          </w:tcPr>
          <w:p>
            <w:pPr>
              <w:spacing w:line="360" w:lineRule="auto"/>
              <w:rPr>
                <w:rFonts w:ascii="仿宋_GB2312" w:hAnsi="Times New Roman" w:eastAsia="仿宋_GB2312" w:cs="Times New Roman"/>
                <w:sz w:val="24"/>
                <w:szCs w:val="24"/>
              </w:rPr>
            </w:pPr>
          </w:p>
        </w:tc>
        <w:tc>
          <w:tcPr>
            <w:tcW w:w="1980" w:type="dxa"/>
            <w:shd w:val="clear" w:color="auto" w:fill="auto"/>
          </w:tcPr>
          <w:p>
            <w:pPr>
              <w:spacing w:line="360" w:lineRule="auto"/>
              <w:rPr>
                <w:rFonts w:ascii="仿宋_GB2312" w:hAnsi="Times New Roman" w:eastAsia="仿宋_GB2312" w:cs="Times New Roman"/>
                <w:sz w:val="24"/>
                <w:szCs w:val="24"/>
              </w:rPr>
            </w:pPr>
          </w:p>
        </w:tc>
        <w:tc>
          <w:tcPr>
            <w:tcW w:w="1496" w:type="dxa"/>
            <w:shd w:val="clear" w:color="auto" w:fill="auto"/>
          </w:tcPr>
          <w:p>
            <w:pPr>
              <w:spacing w:line="360" w:lineRule="auto"/>
              <w:rPr>
                <w:rFonts w:ascii="仿宋_GB2312" w:hAnsi="Times New Roman" w:eastAsia="仿宋_GB2312" w:cs="Times New Roman"/>
                <w:sz w:val="24"/>
                <w:szCs w:val="24"/>
              </w:rPr>
            </w:pPr>
          </w:p>
        </w:tc>
        <w:tc>
          <w:tcPr>
            <w:tcW w:w="1800" w:type="dxa"/>
            <w:shd w:val="clear" w:color="auto" w:fill="auto"/>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shd w:val="clear" w:color="auto" w:fill="auto"/>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累计</w:t>
            </w:r>
          </w:p>
        </w:tc>
        <w:tc>
          <w:tcPr>
            <w:tcW w:w="2520" w:type="dxa"/>
            <w:shd w:val="clear" w:color="auto" w:fill="auto"/>
          </w:tcPr>
          <w:p>
            <w:pPr>
              <w:spacing w:line="360" w:lineRule="auto"/>
              <w:rPr>
                <w:rFonts w:ascii="仿宋_GB2312" w:hAnsi="Times New Roman" w:eastAsia="仿宋_GB2312" w:cs="Times New Roman"/>
                <w:sz w:val="24"/>
                <w:szCs w:val="24"/>
              </w:rPr>
            </w:pPr>
          </w:p>
        </w:tc>
        <w:tc>
          <w:tcPr>
            <w:tcW w:w="1980" w:type="dxa"/>
            <w:shd w:val="clear" w:color="auto" w:fill="auto"/>
          </w:tcPr>
          <w:p>
            <w:pPr>
              <w:spacing w:line="360" w:lineRule="auto"/>
              <w:rPr>
                <w:rFonts w:ascii="仿宋_GB2312" w:hAnsi="Times New Roman" w:eastAsia="仿宋_GB2312" w:cs="Times New Roman"/>
                <w:sz w:val="24"/>
                <w:szCs w:val="24"/>
              </w:rPr>
            </w:pPr>
          </w:p>
        </w:tc>
        <w:tc>
          <w:tcPr>
            <w:tcW w:w="1496" w:type="dxa"/>
            <w:shd w:val="clear" w:color="auto" w:fill="auto"/>
          </w:tcPr>
          <w:p>
            <w:pPr>
              <w:spacing w:line="360" w:lineRule="auto"/>
              <w:rPr>
                <w:rFonts w:ascii="仿宋_GB2312" w:hAnsi="Times New Roman" w:eastAsia="仿宋_GB2312" w:cs="Times New Roman"/>
                <w:sz w:val="24"/>
                <w:szCs w:val="24"/>
              </w:rPr>
            </w:pPr>
          </w:p>
        </w:tc>
        <w:tc>
          <w:tcPr>
            <w:tcW w:w="1800" w:type="dxa"/>
            <w:shd w:val="clear" w:color="auto" w:fill="auto"/>
          </w:tcPr>
          <w:p>
            <w:pPr>
              <w:spacing w:line="360" w:lineRule="auto"/>
              <w:rPr>
                <w:rFonts w:ascii="仿宋_GB2312" w:hAnsi="Times New Roman" w:eastAsia="仿宋_GB2312" w:cs="Times New Roman"/>
                <w:sz w:val="24"/>
                <w:szCs w:val="24"/>
              </w:rPr>
            </w:pPr>
          </w:p>
        </w:tc>
      </w:tr>
    </w:tbl>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买受人确认其将在本《拍卖成交确认书》签署之后按照委托人要求与委托人签署《债权转让协议》，买受人与委托人之间的权利义务关系通过《债权转让协议》进行进一步明确约定。</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买受人进一步确认，其签署本《拍卖成交确认书》并不意味着其取得拍卖标的的权益，在第三条约定的交割条件全部成就前，拍卖标的仍归委托人所有。</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二、 成交价款、佣金及其他资金的结算</w:t>
      </w:r>
    </w:p>
    <w:p>
      <w:pPr>
        <w:spacing w:line="360" w:lineRule="auto"/>
        <w:ind w:firstLine="480" w:firstLineChars="200"/>
        <w:rPr>
          <w:rFonts w:ascii="仿宋_GB2312" w:hAnsi="Times New Roman" w:eastAsia="仿宋_GB2312" w:cs="Times New Roman"/>
          <w:sz w:val="24"/>
          <w:szCs w:val="24"/>
          <w:highlight w:val="none"/>
        </w:rPr>
      </w:pPr>
      <w:r>
        <w:rPr>
          <w:rFonts w:hint="eastAsia" w:ascii="仿宋_GB2312" w:hAnsi="Times New Roman" w:eastAsia="仿宋_GB2312" w:cs="Times New Roman"/>
          <w:sz w:val="24"/>
          <w:szCs w:val="24"/>
          <w:highlight w:val="none"/>
        </w:rPr>
        <w:t>1、拍卖标的成交价款应由买受人在本《拍卖成交确认书》签署之日起内</w:t>
      </w:r>
      <w:r>
        <w:rPr>
          <w:rFonts w:hint="eastAsia" w:ascii="仿宋_GB2312" w:eastAsia="仿宋_GB2312" w:cs="Times New Roman"/>
          <w:sz w:val="24"/>
          <w:szCs w:val="24"/>
          <w:highlight w:val="none"/>
          <w:u w:val="single"/>
          <w:lang w:eastAsia="zh-CN"/>
        </w:rPr>
        <w:t>5</w:t>
      </w:r>
      <w:r>
        <w:rPr>
          <w:rFonts w:hint="eastAsia" w:ascii="仿宋_GB2312" w:eastAsia="仿宋_GB2312" w:cs="Times New Roman"/>
          <w:sz w:val="24"/>
          <w:szCs w:val="24"/>
          <w:highlight w:val="none"/>
          <w:u w:val="single"/>
          <w:lang w:val="en-US" w:eastAsia="zh-CN"/>
        </w:rPr>
        <w:t>个工作</w:t>
      </w:r>
      <w:r>
        <w:rPr>
          <w:rFonts w:hint="eastAsia" w:ascii="仿宋_GB2312" w:hAnsi="Times New Roman" w:eastAsia="仿宋_GB2312" w:cs="Times New Roman"/>
          <w:sz w:val="24"/>
          <w:szCs w:val="24"/>
          <w:highlight w:val="none"/>
        </w:rPr>
        <w:t>日内一次性以电汇立即可用资金形式支付至委托人指定的下列账户：</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户    名： </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开户银行：</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账    号：</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拍卖人将督促买受人按照本《拍卖成交确认书》签署的约定及时，足额向委托人支付成交价款。</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2、买受人应于《拍卖成交确认书》签署之日起</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日内向拍卖人支付佣金。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户    名： </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开户银行：</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账    号：</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 拍卖标的的交割</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1、拍卖标的的交割条件：</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a)委托人已经足额收到买受人按第一条支付的全部成交价款以及其他全部款项；</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b)买受人已经在所有重要方面履行并继续履行其与委托人在本《拍卖成交确认书》之后签署的《债权转让协议》的全部承诺和义务；</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c)委托人已就本《拍卖成交确认书》项下拍卖标的的转让获得根据中华人民共和国法律所必要的相关政府机构备案确认或批准。</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d)拍卖人已经足额收到买受人向其支付的佣金。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拍卖标的的交割：拍卖标的在满足全部交割条件的前提下，由委托人直接向买受人交割，交割条件全部满足前，买受人无权要求委托人进行交割，拍卖标的仍由委托人所有。买受人确认，拍卖标的的交割按照交割时点的现状一次性地从委托人转移至买受人，买受人无条件接受拍卖标的自基准日至交割时点期间所发生的任何变化。</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 买受人与拍卖人承诺</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1、买受人承诺：若买受人逾期未向委托人足额支付全部成交价款的，委托人除有权扣收买受人缴纳的履约保证金外，还有权选择：（a）立即解除《债权转让协议》，</w:t>
      </w:r>
      <w:r>
        <w:rPr>
          <w:rFonts w:hint="eastAsia" w:ascii="仿宋_GB2312" w:hAnsi="Times New Roman" w:eastAsia="仿宋_GB2312" w:cs="Times New Roman"/>
          <w:color w:val="000000"/>
          <w:sz w:val="24"/>
          <w:szCs w:val="24"/>
        </w:rPr>
        <w:t>履约保证金不足以弥补委托人损失的，买受人仍应承担损失赔偿责任</w:t>
      </w:r>
      <w:r>
        <w:rPr>
          <w:rFonts w:hint="eastAsia" w:ascii="仿宋_GB2312" w:hAnsi="Times New Roman" w:eastAsia="仿宋_GB2312" w:cs="Times New Roman"/>
          <w:sz w:val="24"/>
          <w:szCs w:val="24"/>
        </w:rPr>
        <w:t>，如委托人委托拍卖机构再行拍卖本拍卖标的的，买受人除应当承担第一次拍卖中委托人、买受人双方应当支付的佣金外，还应当补足再行拍卖价款低于本《拍卖成交确认书》确定的成交价款的差额；（b）要求买受人继续履行《债权转让协议》，对于逾期款项，每逾期一日，买受人还应按应付未付款项的万分之</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向委托人支付违约金。</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买受人确认其在参加竞买前拍卖人已向其充分披露了拍卖标的的现状以及可能存在的瑕疵与风险，买受人自主决定参加该拍卖标的的拍卖活动，并自愿独立承担受让拍卖标的后可能产生的预期利益无法实现的风险。买受人进一步承诺：若由于拍卖人违反拍卖人与委托人之间签署的《委托拍卖协议》未能披露或充分披露拍卖标的的现状与瑕疵的，买受人将依据本《拍卖成交确认书》向拍卖人主张赔偿，买受人承诺不因此要求委托人进行赔偿或承担任何责任，拍卖人对此不可撤销地予以认可。</w:t>
      </w:r>
    </w:p>
    <w:p>
      <w:pPr>
        <w:spacing w:line="360" w:lineRule="auto"/>
        <w:ind w:firstLine="480" w:firstLineChars="200"/>
        <w:rPr>
          <w:rFonts w:ascii="仿宋_GB2312" w:hAnsi="Times New Roman" w:eastAsia="仿宋_GB2312" w:cs="Times New Roman"/>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4210" w:type="dxa"/>
          </w:tcPr>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拍卖人(盖章)：</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法定代表人或委托代理人(签字)：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拍卖师(签字)：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传真：</w:t>
            </w:r>
          </w:p>
        </w:tc>
        <w:tc>
          <w:tcPr>
            <w:tcW w:w="4312" w:type="dxa"/>
          </w:tcPr>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买受人(盖章)：</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法定代表人或委托代理人(签字)：</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p>
            <w:pPr>
              <w:spacing w:line="56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传真：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ascii="仿宋_GB2312" w:eastAsia="仿宋_GB2312"/>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52158"/>
    <w:rsid w:val="48452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2020-12-15T08:37:00Z</dcterms:created>
  <dc:creator>hongl</dc:creator>
  <cp:lastModifiedBy>hongl</cp:lastModifiedBy>
  <dcterms:modified xsi:type="dcterms:W3CDTF">2020-12-15T08:37:32Z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