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723" w:firstLineChars="200"/>
        <w:jc w:val="center"/>
        <w:rPr>
          <w:rFonts w:hint="eastAsia" w:ascii="仿宋" w:hAnsi="仿宋" w:eastAsia="仿宋"/>
          <w:b/>
          <w:bCs/>
          <w:color w:val="000000"/>
          <w:sz w:val="36"/>
          <w:szCs w:val="36"/>
          <w:lang w:eastAsia="zh-CN"/>
        </w:rPr>
      </w:pPr>
      <w:r>
        <w:rPr>
          <w:rFonts w:hint="eastAsia" w:ascii="仿宋" w:hAnsi="仿宋" w:eastAsia="仿宋"/>
          <w:b/>
          <w:bCs/>
          <w:color w:val="000000"/>
          <w:sz w:val="36"/>
          <w:szCs w:val="36"/>
          <w:lang w:eastAsia="zh-CN"/>
        </w:rPr>
        <w:t>竞</w:t>
      </w:r>
      <w:r>
        <w:rPr>
          <w:rFonts w:hint="eastAsia" w:ascii="仿宋" w:hAnsi="仿宋" w:eastAsia="仿宋"/>
          <w:b/>
          <w:bCs/>
          <w:color w:val="000000"/>
          <w:sz w:val="36"/>
          <w:szCs w:val="36"/>
          <w:lang w:val="en-US" w:eastAsia="zh-CN"/>
        </w:rPr>
        <w:t xml:space="preserve"> </w:t>
      </w:r>
      <w:r>
        <w:rPr>
          <w:rFonts w:hint="eastAsia" w:ascii="仿宋" w:hAnsi="仿宋" w:eastAsia="仿宋"/>
          <w:b/>
          <w:bCs/>
          <w:color w:val="000000"/>
          <w:sz w:val="36"/>
          <w:szCs w:val="36"/>
          <w:lang w:eastAsia="zh-CN"/>
        </w:rPr>
        <w:t>买</w:t>
      </w:r>
      <w:r>
        <w:rPr>
          <w:rFonts w:hint="eastAsia" w:ascii="仿宋" w:hAnsi="仿宋" w:eastAsia="仿宋"/>
          <w:b/>
          <w:bCs/>
          <w:color w:val="000000"/>
          <w:sz w:val="36"/>
          <w:szCs w:val="36"/>
          <w:lang w:val="en-US" w:eastAsia="zh-CN"/>
        </w:rPr>
        <w:t xml:space="preserve"> </w:t>
      </w:r>
      <w:r>
        <w:rPr>
          <w:rFonts w:hint="eastAsia" w:ascii="仿宋" w:hAnsi="仿宋" w:eastAsia="仿宋"/>
          <w:b/>
          <w:bCs/>
          <w:color w:val="000000"/>
          <w:sz w:val="36"/>
          <w:szCs w:val="36"/>
          <w:lang w:eastAsia="zh-CN"/>
        </w:rPr>
        <w:t>须</w:t>
      </w:r>
      <w:r>
        <w:rPr>
          <w:rFonts w:hint="eastAsia" w:ascii="仿宋" w:hAnsi="仿宋" w:eastAsia="仿宋"/>
          <w:b/>
          <w:bCs/>
          <w:color w:val="000000"/>
          <w:sz w:val="36"/>
          <w:szCs w:val="36"/>
          <w:lang w:val="en-US" w:eastAsia="zh-CN"/>
        </w:rPr>
        <w:t xml:space="preserve"> </w:t>
      </w:r>
      <w:r>
        <w:rPr>
          <w:rFonts w:hint="eastAsia" w:ascii="仿宋" w:hAnsi="仿宋" w:eastAsia="仿宋"/>
          <w:b/>
          <w:bCs/>
          <w:color w:val="000000"/>
          <w:sz w:val="36"/>
          <w:szCs w:val="36"/>
          <w:lang w:eastAsia="zh-CN"/>
        </w:rPr>
        <w:t>知</w:t>
      </w:r>
    </w:p>
    <w:p>
      <w:pPr>
        <w:spacing w:line="42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本公司遵循“公开、公平、公正、诚实信用”的原则，依法对委托标的物进行公开拍卖，为规范拍卖行为，维护拍卖秩序，保障拍卖活动中各方当事人的合法权益，依据《中华人民共和国拍卖法》特制定本须知：</w:t>
      </w:r>
    </w:p>
    <w:p>
      <w:pPr>
        <w:spacing w:line="360" w:lineRule="auto"/>
        <w:ind w:firstLine="560" w:firstLineChars="200"/>
        <w:rPr>
          <w:rFonts w:hint="eastAsia" w:ascii="宋体" w:hAnsi="宋体" w:eastAsia="宋体" w:cs="宋体"/>
          <w:b/>
          <w:bCs/>
          <w:i w:val="0"/>
          <w:caps w:val="0"/>
          <w:color w:val="333333"/>
          <w:spacing w:val="0"/>
          <w:kern w:val="0"/>
          <w:sz w:val="24"/>
          <w:szCs w:val="24"/>
          <w:u w:val="single"/>
          <w:shd w:val="clear" w:color="auto" w:fill="FFFFFF"/>
          <w:lang w:val="en-US" w:eastAsia="zh-CN" w:bidi="ar"/>
        </w:rPr>
      </w:pPr>
      <w:r>
        <w:rPr>
          <w:rFonts w:hint="eastAsia" w:ascii="仿宋" w:hAnsi="仿宋" w:eastAsia="仿宋"/>
          <w:color w:val="000000"/>
          <w:sz w:val="28"/>
          <w:szCs w:val="28"/>
          <w:lang w:eastAsia="zh-CN"/>
        </w:rPr>
        <w:t>拍卖标的：</w:t>
      </w:r>
      <w:ins w:id="0" w:author="hongl" w:date="2020-11-09T13:59:00Z">
        <w:r>
          <w:rPr>
            <w:rFonts w:hint="eastAsia" w:ascii="宋体" w:hAnsi="宋体" w:eastAsia="宋体" w:cs="宋体"/>
            <w:b/>
            <w:bCs/>
            <w:i w:val="0"/>
            <w:caps w:val="0"/>
            <w:color w:val="333333"/>
            <w:spacing w:val="0"/>
            <w:kern w:val="0"/>
            <w:sz w:val="24"/>
            <w:szCs w:val="24"/>
            <w:u w:val="single"/>
            <w:shd w:val="clear" w:fill="FFFFFF"/>
            <w:lang w:val="en-US" w:eastAsia="zh-CN" w:bidi="ar"/>
          </w:rPr>
          <w:t>中国长城资产管理股份有限公司山东省分公司拥有的青岛秋实木业有限公司债权，截至2020年9月21日，债权金额合计为654.36万元，其中：本金为500.00万元、利息为40.33万元、孳生利息为108.62万元，挂账诉讼费用为5.41万元（2020年9月21日之后产生的利息，以及与不良贷款债权相关的从权利亦在本次拍卖范围内）</w:t>
        </w:r>
      </w:ins>
      <w:ins w:id="1" w:author="hongl" w:date="2020-11-09T13:59:00Z">
        <w:r>
          <w:rPr>
            <w:rFonts w:hint="eastAsia" w:ascii="宋体" w:hAnsi="宋体" w:eastAsia="宋体" w:cs="宋体"/>
            <w:b/>
            <w:bCs/>
            <w:kern w:val="0"/>
            <w:sz w:val="24"/>
            <w:szCs w:val="24"/>
            <w:u w:val="single"/>
            <w:lang w:val="en-US" w:eastAsia="zh-CN" w:bidi="ar"/>
          </w:rPr>
          <w:t>，现状拍卖</w:t>
        </w:r>
      </w:ins>
      <w:ins w:id="2" w:author="hongl" w:date="2020-11-09T13:59:00Z">
        <w:r>
          <w:rPr>
            <w:rFonts w:hint="eastAsia" w:ascii="宋体" w:hAnsi="宋体" w:eastAsia="宋体" w:cs="宋体"/>
            <w:b/>
            <w:bCs/>
            <w:i w:val="0"/>
            <w:caps w:val="0"/>
            <w:color w:val="333333"/>
            <w:spacing w:val="0"/>
            <w:kern w:val="0"/>
            <w:sz w:val="24"/>
            <w:szCs w:val="24"/>
            <w:u w:val="single"/>
            <w:shd w:val="clear" w:fill="FFFFFF"/>
            <w:lang w:val="en-US" w:eastAsia="zh-CN" w:bidi="ar"/>
          </w:rPr>
          <w:t>。最终债权金额、担保等情况以委托人与买受人签署的《债权转让协议》和双方移交材料为准，拍卖人提供的相关资料仅供参考。</w:t>
        </w:r>
      </w:ins>
      <w:del w:id="3" w:author="hongl" w:date="2020-11-09T13:59:00Z">
        <w:r>
          <w:rPr>
            <w:rFonts w:hint="eastAsia" w:ascii="宋体" w:hAnsi="宋体" w:eastAsia="宋体" w:cs="宋体"/>
            <w:b/>
            <w:bCs/>
            <w:i w:val="0"/>
            <w:caps w:val="0"/>
            <w:color w:val="333333"/>
            <w:spacing w:val="0"/>
            <w:kern w:val="0"/>
            <w:sz w:val="24"/>
            <w:szCs w:val="24"/>
            <w:u w:val="single"/>
            <w:shd w:val="clear" w:fill="FFFFFF"/>
            <w:lang w:val="en-US" w:eastAsia="zh-CN" w:bidi="ar"/>
          </w:rPr>
          <w:delText>中国长城资产管理股份有限公司山东省分公司拥有的青岛大韩食品有限公司债权，截至2020年10月12日，债权金额合计为352.86万元，其中：本金为277.28万元、利息为8.19万元、孳生利息为63.96万元，垫付诉讼费用为3.43万元（2020年10月12日之后产生的利息，以及与不良贷款债权相关的从权利亦在本次拍卖范围内）</w:delText>
        </w:r>
      </w:del>
      <w:del w:id="4" w:author="hongl" w:date="2020-11-09T13:59:00Z">
        <w:r>
          <w:rPr>
            <w:rFonts w:hint="eastAsia" w:ascii="宋体" w:hAnsi="宋体" w:eastAsia="宋体" w:cs="宋体"/>
            <w:b/>
            <w:bCs/>
            <w:kern w:val="0"/>
            <w:sz w:val="24"/>
            <w:szCs w:val="24"/>
            <w:u w:val="single"/>
            <w:lang w:val="en-US" w:eastAsia="zh-CN" w:bidi="ar"/>
          </w:rPr>
          <w:delText>，现状拍卖</w:delText>
        </w:r>
      </w:del>
      <w:del w:id="5" w:author="hongl" w:date="2020-11-09T13:59:00Z">
        <w:r>
          <w:rPr>
            <w:rFonts w:hint="eastAsia" w:ascii="宋体" w:hAnsi="宋体" w:eastAsia="宋体" w:cs="宋体"/>
            <w:b/>
            <w:bCs/>
            <w:i w:val="0"/>
            <w:caps w:val="0"/>
            <w:color w:val="333333"/>
            <w:spacing w:val="0"/>
            <w:kern w:val="0"/>
            <w:sz w:val="24"/>
            <w:szCs w:val="24"/>
            <w:u w:val="single"/>
            <w:shd w:val="clear" w:fill="FFFFFF"/>
            <w:lang w:val="en-US" w:eastAsia="zh-CN" w:bidi="ar"/>
          </w:rPr>
          <w:delText>。最终债权金额、担保等情况以委托人与买受人签署的《债权转让协议》和双方移交材料为准，拍卖人提供的相关资料仅供参考。</w:delText>
        </w:r>
      </w:del>
    </w:p>
    <w:p>
      <w:pPr>
        <w:spacing w:line="420" w:lineRule="exact"/>
        <w:ind w:firstLine="560" w:firstLineChars="200"/>
        <w:rPr>
          <w:rFonts w:hint="eastAsia" w:ascii="仿宋" w:hAnsi="仿宋" w:eastAsia="仿宋"/>
          <w:color w:val="000000"/>
          <w:sz w:val="28"/>
          <w:szCs w:val="28"/>
        </w:rPr>
      </w:pPr>
      <w:bookmarkStart w:id="0" w:name="_GoBack"/>
      <w:bookmarkEnd w:id="0"/>
      <w:r>
        <w:rPr>
          <w:rFonts w:hint="eastAsia" w:ascii="仿宋" w:hAnsi="仿宋" w:eastAsia="仿宋"/>
          <w:color w:val="000000"/>
          <w:sz w:val="28"/>
          <w:szCs w:val="28"/>
        </w:rPr>
        <w:t>对</w:t>
      </w:r>
      <w:r>
        <w:rPr>
          <w:rFonts w:hint="eastAsia" w:ascii="仿宋" w:hAnsi="仿宋" w:eastAsia="仿宋"/>
          <w:color w:val="000000"/>
          <w:sz w:val="28"/>
          <w:szCs w:val="28"/>
          <w:lang w:eastAsia="zh-CN"/>
        </w:rPr>
        <w:t>于上述拍卖标的</w:t>
      </w:r>
      <w:r>
        <w:rPr>
          <w:rFonts w:hint="eastAsia" w:ascii="仿宋" w:hAnsi="仿宋" w:eastAsia="仿宋"/>
          <w:color w:val="000000"/>
          <w:sz w:val="28"/>
          <w:szCs w:val="28"/>
        </w:rPr>
        <w:t>，我公司在此提示风险如下，请竞买人自行把握竞买风险：</w:t>
      </w:r>
    </w:p>
    <w:p>
      <w:pPr>
        <w:spacing w:line="42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spacing w:line="42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1.1贷款债权系不良资产，存在着部分或全部不能回收的风险特性以及清收的困难性；</w:t>
      </w:r>
    </w:p>
    <w:p>
      <w:pPr>
        <w:snapToGrid/>
        <w:spacing w:line="42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1.2 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snapToGrid/>
        <w:spacing w:line="42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1.3 贷款债权项下借款人、担保人或其他责任主体可能存在破产、被吊销、被注销、被撤销、解散、关闭、歇业、停业、下落不明、无法查询到相关信息以及其他主体存续性瑕疵的情形；</w:t>
      </w:r>
    </w:p>
    <w:p>
      <w:pPr>
        <w:snapToGrid/>
        <w:spacing w:line="42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1.4 贷款债权可能已超过诉讼、执行时效、法定或约定时效或丧失其他相关的期间利益或因其他原因已部分或全部丧失；</w:t>
      </w:r>
    </w:p>
    <w:p>
      <w:pPr>
        <w:snapToGrid/>
        <w:spacing w:line="42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1.5 贷款债权项下担保权利可能未生效、无效、消灭或已过诉讼时效等情形；</w:t>
      </w:r>
    </w:p>
    <w:p>
      <w:pPr>
        <w:snapToGrid/>
        <w:spacing w:line="42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1.6 贷款债权权属文件可能存在缺失（不限于原件）、内容冲突、不真实等相关情形；</w:t>
      </w:r>
    </w:p>
    <w:p>
      <w:pPr>
        <w:snapToGrid/>
        <w:spacing w:line="42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1.7涉诉贷款债权可能存在全部或部分败诉、不能变更诉讼（含执行）主体、相关诉讼、执行费用未付等情形，涉诉贷款债权可能在交割前已诉讼终结、执行终结或破产终结；</w:t>
      </w:r>
    </w:p>
    <w:p>
      <w:pPr>
        <w:snapToGrid/>
        <w:spacing w:line="42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1.8 贷款债权事实上可能已经全部灭失或部分灭失，存在无法向原主从债务人进行追偿的可能性；</w:t>
      </w:r>
    </w:p>
    <w:p>
      <w:pPr>
        <w:snapToGrid/>
        <w:spacing w:line="42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1.9买受人受让贷款债权后，对该贷款债权在交割日后的利息或罚息请求权，买受人可能无法继续享有；</w:t>
      </w:r>
    </w:p>
    <w:p>
      <w:pPr>
        <w:snapToGrid/>
        <w:spacing w:line="42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1.10买受人受让贷款债权后，可能无法享有委托人所享有的国家法律政策规定的各项优惠条件和特殊保护，包括但不限于税收和诉讼方面的优惠和特殊保护；</w:t>
      </w:r>
    </w:p>
    <w:p>
      <w:pPr>
        <w:snapToGrid/>
        <w:spacing w:line="420" w:lineRule="exact"/>
        <w:ind w:firstLine="560" w:firstLineChars="200"/>
        <w:rPr>
          <w:rFonts w:hint="eastAsia" w:ascii="仿宋" w:hAnsi="仿宋" w:eastAsia="仿宋"/>
          <w:b w:val="0"/>
          <w:bCs w:val="0"/>
          <w:color w:val="000000"/>
          <w:sz w:val="28"/>
          <w:szCs w:val="28"/>
          <w:lang w:val="en-US" w:eastAsia="zh-CN"/>
        </w:rPr>
      </w:pPr>
      <w:r>
        <w:rPr>
          <w:rFonts w:hint="eastAsia" w:ascii="仿宋" w:hAnsi="仿宋" w:eastAsia="仿宋"/>
          <w:b w:val="0"/>
          <w:bCs w:val="0"/>
          <w:color w:val="000000"/>
          <w:sz w:val="28"/>
          <w:szCs w:val="28"/>
          <w:lang w:val="en-US" w:eastAsia="zh-CN"/>
        </w:rPr>
        <w:t>1.11 该债权抵押物为第二顺位抵押，轮候查封，地上建筑物未办证，是否为抵押后新增建筑无法确定。抵押物是否有变现障碍存在不确定性。债权存在被法院终结本次执行的可能性。</w:t>
      </w:r>
    </w:p>
    <w:p>
      <w:pPr>
        <w:spacing w:line="42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olor w:val="000000"/>
          <w:sz w:val="28"/>
          <w:szCs w:val="28"/>
          <w:lang w:eastAsia="zh-CN"/>
        </w:rPr>
        <w:t>拍卖人、</w:t>
      </w:r>
      <w:r>
        <w:rPr>
          <w:rFonts w:hint="eastAsia" w:ascii="仿宋" w:hAnsi="仿宋" w:eastAsia="仿宋"/>
          <w:color w:val="000000"/>
          <w:sz w:val="28"/>
          <w:szCs w:val="28"/>
        </w:rPr>
        <w:t>长城公司山东分公司及前手权利人不承担任何责任。</w:t>
      </w:r>
    </w:p>
    <w:p>
      <w:pPr>
        <w:spacing w:line="420" w:lineRule="exact"/>
        <w:ind w:firstLine="562" w:firstLineChars="200"/>
        <w:rPr>
          <w:rFonts w:hint="eastAsia" w:ascii="仿宋" w:hAnsi="仿宋" w:eastAsia="仿宋"/>
          <w:b/>
          <w:bCs/>
          <w:color w:val="000000"/>
          <w:sz w:val="28"/>
          <w:szCs w:val="28"/>
          <w:lang w:eastAsia="zh-CN"/>
        </w:rPr>
      </w:pPr>
      <w:r>
        <w:rPr>
          <w:rFonts w:hint="eastAsia" w:ascii="仿宋" w:hAnsi="仿宋" w:eastAsia="仿宋"/>
          <w:b/>
          <w:bCs/>
          <w:color w:val="000000"/>
          <w:sz w:val="28"/>
          <w:szCs w:val="28"/>
          <w:lang w:eastAsia="zh-CN"/>
        </w:rPr>
        <w:t>竞买人</w:t>
      </w:r>
      <w:r>
        <w:rPr>
          <w:rFonts w:hint="eastAsia" w:ascii="仿宋" w:hAnsi="仿宋" w:eastAsia="仿宋"/>
          <w:b/>
          <w:bCs/>
          <w:color w:val="000000"/>
          <w:sz w:val="28"/>
          <w:szCs w:val="28"/>
        </w:rPr>
        <w:t>声明并承诺：本人已全面了解拍卖标的现状（包括瑕疵），认可本次拍卖会的全部要求，对所拍卖的标的无异议，并承诺按竞买协议及竞买须知要求办理各项事宜。如果违约，由委托方、拍卖公司按照《拍卖法》及有关法律规定办理，并承担违约责任。</w:t>
      </w:r>
    </w:p>
    <w:p>
      <w:pPr>
        <w:spacing w:line="420" w:lineRule="exact"/>
        <w:ind w:firstLine="560" w:firstLineChars="200"/>
        <w:rPr>
          <w:rFonts w:hint="eastAsia" w:ascii="仿宋" w:hAnsi="仿宋" w:eastAsia="仿宋"/>
          <w:color w:val="000000"/>
          <w:sz w:val="28"/>
          <w:szCs w:val="28"/>
        </w:rPr>
      </w:pPr>
    </w:p>
    <w:p>
      <w:pPr>
        <w:spacing w:line="440" w:lineRule="exact"/>
        <w:ind w:firstLine="562" w:firstLineChars="200"/>
        <w:rPr>
          <w:rFonts w:hint="eastAsia" w:ascii="仿宋" w:hAnsi="仿宋" w:eastAsia="仿宋"/>
          <w:color w:val="000000"/>
          <w:sz w:val="28"/>
          <w:szCs w:val="28"/>
        </w:rPr>
      </w:pPr>
      <w:r>
        <w:rPr>
          <w:rFonts w:hint="eastAsia" w:ascii="仿宋" w:hAnsi="仿宋" w:eastAsia="仿宋"/>
          <w:b/>
          <w:bCs/>
          <w:color w:val="000000"/>
          <w:sz w:val="28"/>
          <w:szCs w:val="28"/>
        </w:rPr>
        <w:t>竞买人签字</w:t>
      </w:r>
      <w:r>
        <w:rPr>
          <w:rFonts w:hint="eastAsia" w:ascii="仿宋" w:hAnsi="仿宋" w:eastAsia="仿宋"/>
          <w:b/>
          <w:bCs/>
          <w:color w:val="000000"/>
          <w:sz w:val="28"/>
          <w:szCs w:val="28"/>
          <w:lang w:val="en-US" w:eastAsia="zh-CN"/>
        </w:rPr>
        <w:t xml:space="preserve"> (单位公章)：</w:t>
      </w:r>
    </w:p>
    <w:p>
      <w:pPr>
        <w:spacing w:line="440" w:lineRule="exact"/>
        <w:ind w:firstLine="560" w:firstLineChars="200"/>
        <w:rPr>
          <w:rFonts w:hint="eastAsia" w:ascii="仿宋" w:hAnsi="仿宋" w:eastAsia="仿宋"/>
          <w:color w:val="000000"/>
          <w:sz w:val="28"/>
          <w:szCs w:val="28"/>
        </w:rPr>
      </w:pPr>
    </w:p>
    <w:p>
      <w:pPr>
        <w:spacing w:line="440" w:lineRule="exact"/>
        <w:ind w:firstLine="560" w:firstLineChars="200"/>
        <w:jc w:val="left"/>
        <w:rPr>
          <w:rFonts w:hint="eastAsia" w:ascii="仿宋" w:hAnsi="仿宋" w:eastAsia="仿宋"/>
          <w:color w:val="000000"/>
          <w:sz w:val="28"/>
          <w:szCs w:val="28"/>
        </w:rPr>
      </w:pPr>
    </w:p>
    <w:p>
      <w:pPr>
        <w:wordWrap w:val="0"/>
        <w:spacing w:line="440" w:lineRule="exact"/>
        <w:ind w:firstLine="562" w:firstLineChars="200"/>
        <w:jc w:val="right"/>
        <w:rPr>
          <w:rFonts w:hint="default" w:ascii="仿宋" w:hAnsi="仿宋" w:eastAsia="仿宋"/>
          <w:b/>
          <w:bCs/>
          <w:color w:val="000000"/>
          <w:sz w:val="28"/>
          <w:szCs w:val="28"/>
          <w:lang w:val="en-US" w:eastAsia="zh-CN"/>
        </w:rPr>
      </w:pPr>
      <w:r>
        <w:rPr>
          <w:rFonts w:hint="eastAsia" w:ascii="仿宋" w:hAnsi="仿宋" w:eastAsia="仿宋"/>
          <w:b/>
          <w:bCs/>
          <w:color w:val="000000"/>
          <w:sz w:val="28"/>
          <w:szCs w:val="28"/>
          <w:lang w:val="en-US" w:eastAsia="zh-CN"/>
        </w:rPr>
        <w:t xml:space="preserve">  </w:t>
      </w:r>
      <w:r>
        <w:rPr>
          <w:rFonts w:hint="eastAsia" w:ascii="仿宋" w:hAnsi="仿宋" w:eastAsia="仿宋"/>
          <w:b/>
          <w:bCs/>
          <w:color w:val="000000"/>
          <w:sz w:val="28"/>
          <w:szCs w:val="28"/>
        </w:rPr>
        <w:t>光彩银星拍卖有限公司</w:t>
      </w:r>
      <w:r>
        <w:rPr>
          <w:rFonts w:hint="eastAsia" w:ascii="仿宋" w:hAnsi="仿宋" w:eastAsia="仿宋"/>
          <w:b/>
          <w:bCs/>
          <w:color w:val="000000"/>
          <w:sz w:val="28"/>
          <w:szCs w:val="28"/>
          <w:lang w:val="en-US" w:eastAsia="zh-CN"/>
        </w:rPr>
        <w:t xml:space="preserve">  </w:t>
      </w:r>
    </w:p>
    <w:p>
      <w:pPr>
        <w:spacing w:line="440" w:lineRule="exact"/>
        <w:ind w:firstLine="560" w:firstLineChars="200"/>
        <w:jc w:val="center"/>
        <w:rPr>
          <w:rFonts w:hint="eastAsia" w:ascii="仿宋" w:hAnsi="仿宋" w:eastAsia="仿宋"/>
          <w:color w:val="000000"/>
          <w:sz w:val="28"/>
          <w:szCs w:val="28"/>
        </w:rPr>
      </w:pPr>
      <w:r>
        <w:rPr>
          <w:rFonts w:hint="eastAsia" w:ascii="仿宋" w:hAnsi="仿宋" w:eastAsia="仿宋" w:cs="Times New Roman"/>
          <w:color w:val="000000"/>
          <w:sz w:val="28"/>
          <w:szCs w:val="28"/>
          <w:lang w:val="en-US" w:eastAsia="zh-CN"/>
        </w:rPr>
        <w:t xml:space="preserve">                                </w:t>
      </w:r>
      <w:r>
        <w:rPr>
          <w:rFonts w:hint="eastAsia" w:ascii="仿宋" w:hAnsi="仿宋" w:eastAsia="仿宋" w:cs="Times New Roman"/>
          <w:color w:val="000000"/>
          <w:sz w:val="28"/>
          <w:szCs w:val="28"/>
        </w:rPr>
        <w:t>二O二O年</w:t>
      </w:r>
      <w:r>
        <w:rPr>
          <w:rFonts w:hint="eastAsia" w:ascii="仿宋" w:hAnsi="仿宋" w:eastAsia="仿宋" w:cs="Times New Roman"/>
          <w:color w:val="000000"/>
          <w:sz w:val="28"/>
          <w:szCs w:val="28"/>
          <w:lang w:val="en-US" w:eastAsia="zh-CN"/>
        </w:rPr>
        <w:t>十一</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九</w:t>
      </w:r>
      <w:r>
        <w:rPr>
          <w:rFonts w:hint="eastAsia" w:ascii="仿宋" w:hAnsi="仿宋" w:eastAsia="仿宋" w:cs="Times New Roman"/>
          <w:color w:val="000000"/>
          <w:sz w:val="28"/>
          <w:szCs w:val="28"/>
        </w:rPr>
        <w:t>日</w:t>
      </w:r>
      <w:r>
        <w:rPr>
          <w:rFonts w:hint="eastAsia" w:ascii="仿宋" w:hAnsi="仿宋" w:eastAsia="仿宋" w:cs="Times New Roman"/>
          <w:color w:val="000000"/>
          <w:sz w:val="28"/>
          <w:szCs w:val="28"/>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ongl">
    <w15:presenceInfo w15:providerId="None" w15:userId="hon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345226B"/>
    <w:rsid w:val="0DB4363B"/>
    <w:rsid w:val="10275A60"/>
    <w:rsid w:val="10D43807"/>
    <w:rsid w:val="17580747"/>
    <w:rsid w:val="1C877397"/>
    <w:rsid w:val="1DBC563E"/>
    <w:rsid w:val="1F8220EA"/>
    <w:rsid w:val="21ED4D71"/>
    <w:rsid w:val="22102F4D"/>
    <w:rsid w:val="24575584"/>
    <w:rsid w:val="26767A40"/>
    <w:rsid w:val="28A511BD"/>
    <w:rsid w:val="2CB76117"/>
    <w:rsid w:val="2D6A3811"/>
    <w:rsid w:val="3031111E"/>
    <w:rsid w:val="3256430F"/>
    <w:rsid w:val="3723716F"/>
    <w:rsid w:val="3A3A28D6"/>
    <w:rsid w:val="411421CE"/>
    <w:rsid w:val="465D2D4B"/>
    <w:rsid w:val="48853BDF"/>
    <w:rsid w:val="4A7A41D8"/>
    <w:rsid w:val="4A8F1DB8"/>
    <w:rsid w:val="4B50378B"/>
    <w:rsid w:val="4F390BF3"/>
    <w:rsid w:val="54FF48AC"/>
    <w:rsid w:val="5B8E1592"/>
    <w:rsid w:val="645E0C0F"/>
    <w:rsid w:val="6B524C0D"/>
    <w:rsid w:val="6BBB1A5F"/>
    <w:rsid w:val="7181238A"/>
    <w:rsid w:val="71FB6A51"/>
    <w:rsid w:val="74F3142E"/>
    <w:rsid w:val="7B2A1A27"/>
    <w:rsid w:val="7E3C66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link w:val="11"/>
    <w:qForma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Body Text Indent"/>
    <w:basedOn w:val="1"/>
    <w:uiPriority w:val="0"/>
    <w:pPr>
      <w:spacing w:after="120" w:afterLines="0"/>
      <w:ind w:left="420" w:leftChars="200"/>
    </w:pPr>
  </w:style>
  <w:style w:type="paragraph" w:styleId="4">
    <w:name w:val="Date"/>
    <w:basedOn w:val="1"/>
    <w:next w:val="1"/>
    <w:link w:val="16"/>
    <w:qFormat/>
    <w:uiPriority w:val="0"/>
    <w:pPr>
      <w:ind w:left="100" w:leftChars="2500"/>
    </w:pPr>
    <w:rPr>
      <w:kern w:val="2"/>
      <w:sz w:val="21"/>
      <w:szCs w:val="24"/>
    </w:rPr>
  </w:style>
  <w:style w:type="paragraph" w:styleId="5">
    <w:name w:val="Body Text Indent 2"/>
    <w:basedOn w:val="1"/>
    <w:qFormat/>
    <w:uiPriority w:val="0"/>
    <w:pPr>
      <w:ind w:firstLine="642" w:firstLineChars="200"/>
    </w:pPr>
    <w:rPr>
      <w:rFonts w:eastAsia="仿宋_GB2312"/>
      <w:sz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11">
    <w:name w:val="_Style 7"/>
    <w:basedOn w:val="1"/>
    <w:link w:val="10"/>
    <w:qFormat/>
    <w:uiPriority w:val="0"/>
  </w:style>
  <w:style w:type="character" w:styleId="12">
    <w:name w:val="page number"/>
    <w:basedOn w:val="10"/>
    <w:qFormat/>
    <w:uiPriority w:val="0"/>
  </w:style>
  <w:style w:type="paragraph" w:customStyle="1" w:styleId="13">
    <w:name w:val="Char"/>
    <w:basedOn w:val="1"/>
    <w:qFormat/>
    <w:uiPriority w:val="0"/>
  </w:style>
  <w:style w:type="paragraph" w:customStyle="1" w:styleId="14">
    <w:name w:val="默认段落字体 Para Char Char Char Char Char Char Char"/>
    <w:basedOn w:val="1"/>
    <w:qFormat/>
    <w:uiPriority w:val="0"/>
  </w:style>
  <w:style w:type="paragraph" w:customStyle="1" w:styleId="15">
    <w:name w:val=" Char"/>
    <w:basedOn w:val="1"/>
    <w:qFormat/>
    <w:uiPriority w:val="0"/>
  </w:style>
  <w:style w:type="character" w:customStyle="1" w:styleId="16">
    <w:name w:val="日期 Char"/>
    <w:link w:val="4"/>
    <w:qFormat/>
    <w:uiPriority w:val="0"/>
    <w:rPr>
      <w:kern w:val="2"/>
      <w:sz w:val="21"/>
      <w:szCs w:val="24"/>
    </w:rPr>
  </w:style>
  <w:style w:type="character" w:customStyle="1" w:styleId="17">
    <w:name w:val="页眉 Char Char"/>
    <w:link w:val="8"/>
    <w:qFormat/>
    <w:uiPriority w:val="0"/>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0</TotalTime>
  <ScaleCrop>false</ScaleCrop>
  <LinksUpToDate>false</LinksUpToDate>
  <CharactersWithSpaces>2320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hongl</cp:lastModifiedBy>
  <cp:lastPrinted>2020-09-15T05:38:00Z</cp:lastPrinted>
  <dcterms:modified xsi:type="dcterms:W3CDTF">2020-11-09T05:59:01Z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