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3939" w:firstLineChars="1226"/>
        <w:jc w:val="both"/>
        <w:rPr>
          <w:rFonts w:hint="eastAsia" w:ascii="宋体" w:hAnsi="宋体"/>
          <w:b/>
          <w:bCs/>
          <w:color w:val="000000"/>
          <w:sz w:val="32"/>
          <w:szCs w:val="32"/>
        </w:rPr>
      </w:pPr>
      <w:bookmarkStart w:id="0" w:name="OLE_LINK1"/>
      <w:r>
        <w:rPr>
          <w:rFonts w:hint="eastAsia" w:ascii="宋体" w:hAnsi="宋体"/>
          <w:b/>
          <w:bCs/>
          <w:color w:val="000000"/>
          <w:sz w:val="32"/>
          <w:szCs w:val="32"/>
        </w:rPr>
        <w:t>拍 卖 规 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一、本拍卖规则依据《中华人民共和国拍卖法》、《中华人民共和国民法通则》、《中华人民共和国合同法》等相关法律法规和“公开、公平、公正、诚实信用”原则及价高者得规则制定。</w:t>
      </w:r>
    </w:p>
    <w:p>
      <w:pPr>
        <w:pStyle w:val="10"/>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二、本场拍卖会采用洪力共享拍卖平台（公众号：洪力，电脑端：www.honglipai.net）进行，竞买人应自行注册网络拍卖平台账号，竞买人参加本场拍卖会即视为同意认可本拍卖规则和竞买协议内容。由于网络环境因素，网络拍卖过程中，如遇不可抗力，包括但不限于网络不通畅、网络拍卖平台出现故障、黑客攻击等事由可能会出现信息中断、竞价时间不完整、图文变异、系统瘫痪、竞买人无法在网上出价等情形，导致拍卖会无法正常进行，拍卖人有权延迟和（或）暂停另行举行拍卖会。若竞价记录可以恢复的，重新启动拍卖后，起始价为网络中断时的最高有效报价；若竞价记录无法恢复的，起拍价为标的起始价。如个别竞买人自身操作问题导致无法参加竞买的，由竞买人自负其责。委托人和拍卖人不承担任何责任。通过洪力共享拍卖平台进行网络拍卖的竞买人，承诺已经对可能发生的故障有充分准备，并放弃因此类故障要求委托人和拍卖人承担任何赔偿责任。竞买人应保管好自己的账号和密码，凡在洪力共享拍卖平台上以竞买人的帐号和密码登陆后进行的操作，均被视为竞买人的行为，竞买人应当对以其帐号进行的所有活动和事件负法律责任。</w:t>
      </w:r>
    </w:p>
    <w:p>
      <w:pPr>
        <w:spacing w:line="360" w:lineRule="auto"/>
        <w:ind w:firstLine="480" w:firstLineChars="200"/>
        <w:rPr>
          <w:rFonts w:hint="eastAsia" w:ascii="宋体" w:hAnsi="宋体" w:eastAsia="宋体" w:cs="宋体"/>
          <w:b/>
          <w:bCs/>
          <w:i w:val="0"/>
          <w:caps w:val="0"/>
          <w:color w:val="333333"/>
          <w:spacing w:val="0"/>
          <w:kern w:val="0"/>
          <w:sz w:val="24"/>
          <w:szCs w:val="24"/>
          <w:u w:val="single"/>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三、本场拍卖会的拍卖标的为</w:t>
      </w:r>
      <w:r>
        <w:rPr>
          <w:rFonts w:hint="eastAsia" w:ascii="宋体" w:hAnsi="宋体" w:eastAsia="宋体" w:cs="宋体"/>
          <w:b/>
          <w:bCs/>
          <w:i w:val="0"/>
          <w:caps w:val="0"/>
          <w:color w:val="333333"/>
          <w:spacing w:val="0"/>
          <w:kern w:val="0"/>
          <w:sz w:val="24"/>
          <w:szCs w:val="24"/>
          <w:u w:val="single"/>
          <w:shd w:val="clear" w:fill="FFFFFF"/>
          <w:lang w:val="en-US" w:eastAsia="zh-CN" w:bidi="ar"/>
        </w:rPr>
        <w:t>中国长城资产管理股份有限公司山东省分公司拥有的山东泰丰节能新材料股份有限公司债权，截至2020年8月1日，债权金额合计为63,635,334.76元，其中：本金为49,949,000.00元、利息为13,463,018.76元、代垫费用为223,316.00元（2020年8月1日之后产生的利息，以及与不良贷款债权相关的从权利亦在本次拍卖范围内），现状拍卖</w:t>
      </w:r>
      <w:r>
        <w:rPr>
          <w:rFonts w:hint="eastAsia" w:ascii="宋体" w:hAnsi="宋体" w:cs="宋体"/>
          <w:b/>
          <w:bCs/>
          <w:i w:val="0"/>
          <w:caps w:val="0"/>
          <w:color w:val="333333"/>
          <w:spacing w:val="0"/>
          <w:kern w:val="0"/>
          <w:sz w:val="24"/>
          <w:szCs w:val="24"/>
          <w:u w:val="single"/>
          <w:shd w:val="clear" w:fill="FFFFFF"/>
          <w:lang w:val="en-US" w:eastAsia="zh-CN" w:bidi="ar"/>
        </w:rPr>
        <w:t>，</w:t>
      </w:r>
      <w:r>
        <w:rPr>
          <w:rFonts w:hint="eastAsia" w:ascii="宋体" w:hAnsi="宋体" w:eastAsia="宋体" w:cs="宋体"/>
          <w:b/>
          <w:bCs/>
          <w:i w:val="0"/>
          <w:caps w:val="0"/>
          <w:color w:val="333333"/>
          <w:spacing w:val="0"/>
          <w:kern w:val="0"/>
          <w:sz w:val="24"/>
          <w:szCs w:val="24"/>
          <w:u w:val="single"/>
          <w:shd w:val="clear" w:fill="FFFFFF"/>
          <w:lang w:val="en-US" w:eastAsia="zh-CN" w:bidi="ar"/>
        </w:rPr>
        <w:t>最终债权金额、担保等情况以委托人与买受人签署的《债权转让协议》和双方移交材料为准，拍卖人提供的相关资料仅供参考。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微软雅黑" w:hAnsi="微软雅黑" w:eastAsia="宋体" w:cs="微软雅黑"/>
          <w:i w:val="0"/>
          <w:caps w:val="0"/>
          <w:color w:val="333333"/>
          <w:spacing w:val="0"/>
          <w:sz w:val="21"/>
          <w:szCs w:val="21"/>
          <w:lang w:eastAsia="zh-CN"/>
        </w:rPr>
      </w:pPr>
      <w:r>
        <w:rPr>
          <w:rFonts w:hint="eastAsia" w:ascii="宋体" w:hAnsi="宋体" w:eastAsia="宋体" w:cs="宋体"/>
          <w:i w:val="0"/>
          <w:caps w:val="0"/>
          <w:color w:val="333333"/>
          <w:spacing w:val="0"/>
          <w:sz w:val="24"/>
          <w:szCs w:val="24"/>
          <w:shd w:val="clear" w:fill="FFFFFF"/>
        </w:rPr>
        <w:t>四、本次拍卖按拍卖标的实物现状进行，拍卖人已知的标的瑕疵已经告知竞买人，拍卖人不承担瑕疵担保责任，竞买人须于拍卖会前自行认真了解标的情况，自行核对标的相关信息，拍卖人提供的拍卖标的的相关资料仅供参考，由于竞买人对标的了解不彻底所造成的损失与拍卖人、委托人无关，委托人和拍卖人对以上事项不承担任何责任和费用。买受人的竞买保证金转为部分拍卖成交价款，不再退还。竞买不成功的，保证金在拍卖会后</w:t>
      </w:r>
      <w:r>
        <w:rPr>
          <w:rFonts w:hint="eastAsia" w:ascii="宋体" w:hAnsi="宋体" w:cs="宋体"/>
          <w:i w:val="0"/>
          <w:caps w:val="0"/>
          <w:color w:val="333333"/>
          <w:spacing w:val="0"/>
          <w:sz w:val="24"/>
          <w:szCs w:val="24"/>
          <w:shd w:val="clear" w:fill="FFFFFF"/>
          <w:lang w:val="en-US" w:eastAsia="zh-CN"/>
        </w:rPr>
        <w:t>3个工作日</w:t>
      </w:r>
      <w:r>
        <w:rPr>
          <w:rFonts w:hint="eastAsia" w:ascii="宋体" w:hAnsi="宋体" w:eastAsia="宋体" w:cs="宋体"/>
          <w:i w:val="0"/>
          <w:caps w:val="0"/>
          <w:color w:val="333333"/>
          <w:spacing w:val="0"/>
          <w:sz w:val="24"/>
          <w:szCs w:val="24"/>
          <w:shd w:val="clear" w:fill="FFFFFF"/>
        </w:rPr>
        <w:t>内退还，不计息</w:t>
      </w:r>
      <w:r>
        <w:rPr>
          <w:rFonts w:hint="eastAsia" w:ascii="宋体" w:hAnsi="宋体" w:cs="宋体"/>
          <w:i w:val="0"/>
          <w:caps w:val="0"/>
          <w:color w:val="333333"/>
          <w:spacing w:val="0"/>
          <w:sz w:val="24"/>
          <w:szCs w:val="24"/>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五、本次拍卖以增价方本次拍卖以增价方式进行。拍卖师有权临时调整加价幅度。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六、本次拍卖设保留价，竞买人的最高应价达不到保留价时不能成交。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七、拍卖成交后，买受人须在拍卖成交当日与拍卖人签订《拍卖成交确认书》，未能签署的不影响成交效力，以网络拍卖平台确认为准。</w:t>
      </w:r>
    </w:p>
    <w:p>
      <w:pPr>
        <w:keepNext w:val="0"/>
        <w:keepLines w:val="0"/>
        <w:pageBreakBefore w:val="0"/>
        <w:widowControl w:val="0"/>
        <w:numPr>
          <w:ilvl w:val="0"/>
          <w:numId w:val="0"/>
        </w:numPr>
        <w:kinsoku/>
        <w:wordWrap/>
        <w:overflowPunct/>
        <w:topLinePunct w:val="0"/>
        <w:autoSpaceDE/>
        <w:bidi w:val="0"/>
        <w:adjustRightInd/>
        <w:snapToGrid/>
        <w:spacing w:line="400" w:lineRule="exact"/>
        <w:ind w:left="0" w:leftChars="0" w:right="0" w:rightChars="0" w:firstLine="480"/>
        <w:jc w:val="both"/>
        <w:textAlignment w:val="auto"/>
        <w:outlineLvl w:val="9"/>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rPr>
        <w:t>八、拍卖成交后，买受人需在拍卖成交之日起</w:t>
      </w:r>
      <w:r>
        <w:rPr>
          <w:rFonts w:hint="eastAsia" w:ascii="宋体" w:hAnsi="宋体" w:cs="宋体"/>
          <w:i w:val="0"/>
          <w:caps w:val="0"/>
          <w:color w:val="333333"/>
          <w:spacing w:val="0"/>
          <w:sz w:val="24"/>
          <w:szCs w:val="24"/>
          <w:shd w:val="clear" w:fill="FFFFFF"/>
          <w:lang w:val="en-US" w:eastAsia="zh-CN"/>
        </w:rPr>
        <w:t>2个工作日</w:t>
      </w:r>
      <w:r>
        <w:rPr>
          <w:rFonts w:hint="eastAsia" w:ascii="宋体" w:hAnsi="宋体" w:eastAsia="宋体" w:cs="宋体"/>
          <w:i w:val="0"/>
          <w:caps w:val="0"/>
          <w:color w:val="333333"/>
          <w:spacing w:val="0"/>
          <w:sz w:val="24"/>
          <w:szCs w:val="24"/>
          <w:shd w:val="clear" w:fill="FFFFFF"/>
        </w:rPr>
        <w:t>内将全部拍卖成交价款支付到指定的帐户，并与委托人签署《债权转让协议》</w:t>
      </w:r>
      <w:r>
        <w:rPr>
          <w:rFonts w:hint="eastAsia" w:ascii="宋体" w:hAnsi="宋体" w:cs="宋体"/>
          <w:i w:val="0"/>
          <w:caps w:val="0"/>
          <w:color w:val="333333"/>
          <w:spacing w:val="0"/>
          <w:sz w:val="24"/>
          <w:szCs w:val="24"/>
          <w:shd w:val="clear" w:fill="FFFFFF"/>
          <w:lang w:eastAsia="zh-CN"/>
        </w:rPr>
        <w:t>，</w:t>
      </w:r>
      <w:r>
        <w:rPr>
          <w:rFonts w:hint="eastAsia" w:ascii="宋体" w:hAnsi="宋体" w:cs="宋体"/>
          <w:i w:val="0"/>
          <w:caps w:val="0"/>
          <w:color w:val="333333"/>
          <w:spacing w:val="0"/>
          <w:sz w:val="24"/>
          <w:szCs w:val="24"/>
          <w:shd w:val="clear" w:fill="FFFFFF"/>
          <w:lang w:val="en-US" w:eastAsia="zh-CN"/>
        </w:rPr>
        <w:t>乙方应在</w:t>
      </w:r>
      <w:r>
        <w:rPr>
          <w:rFonts w:hint="eastAsia" w:ascii="宋体" w:hAnsi="宋体" w:cs="宋体"/>
          <w:color w:val="auto"/>
          <w:sz w:val="24"/>
          <w:szCs w:val="24"/>
          <w:lang w:val="en-US" w:eastAsia="zh-CN"/>
        </w:rPr>
        <w:t>拍卖成交日将</w:t>
      </w:r>
      <w:r>
        <w:rPr>
          <w:rFonts w:hint="eastAsia" w:ascii="宋体" w:hAnsi="宋体" w:cs="宋体"/>
          <w:i w:val="0"/>
          <w:caps w:val="0"/>
          <w:color w:val="333333"/>
          <w:spacing w:val="0"/>
          <w:sz w:val="24"/>
          <w:szCs w:val="24"/>
          <w:shd w:val="clear" w:fill="FFFFFF"/>
          <w:lang w:val="en-US" w:eastAsia="zh-CN"/>
        </w:rPr>
        <w:t>拍卖</w:t>
      </w:r>
      <w:r>
        <w:rPr>
          <w:rFonts w:hint="eastAsia" w:ascii="宋体" w:hAnsi="宋体" w:eastAsia="宋体" w:cs="宋体"/>
          <w:i w:val="0"/>
          <w:caps w:val="0"/>
          <w:color w:val="333333"/>
          <w:spacing w:val="0"/>
          <w:sz w:val="24"/>
          <w:szCs w:val="24"/>
          <w:shd w:val="clear" w:fill="FFFFFF"/>
          <w:lang w:val="en-US" w:eastAsia="zh-CN"/>
        </w:rPr>
        <w:t>佣金</w:t>
      </w:r>
      <w:r>
        <w:rPr>
          <w:rFonts w:hint="eastAsia" w:ascii="宋体" w:hAnsi="宋体" w:cs="宋体"/>
          <w:i w:val="0"/>
          <w:caps w:val="0"/>
          <w:color w:val="333333"/>
          <w:spacing w:val="0"/>
          <w:sz w:val="24"/>
          <w:szCs w:val="24"/>
          <w:shd w:val="clear" w:fill="FFFFFF"/>
          <w:lang w:val="en-US" w:eastAsia="zh-CN"/>
        </w:rPr>
        <w:t>汇入甲方</w:t>
      </w:r>
      <w:r>
        <w:rPr>
          <w:rFonts w:hint="eastAsia" w:ascii="宋体" w:hAnsi="宋体" w:eastAsia="宋体" w:cs="宋体"/>
          <w:i w:val="0"/>
          <w:caps w:val="0"/>
          <w:color w:val="333333"/>
          <w:spacing w:val="0"/>
          <w:sz w:val="24"/>
          <w:szCs w:val="24"/>
          <w:shd w:val="clear" w:fill="FFFFFF"/>
        </w:rPr>
        <w:t>指定的帐户</w:t>
      </w:r>
      <w:r>
        <w:rPr>
          <w:rFonts w:hint="eastAsia" w:ascii="宋体" w:hAnsi="宋体" w:cs="宋体"/>
          <w:i w:val="0"/>
          <w:caps w:val="0"/>
          <w:color w:val="333333"/>
          <w:spacing w:val="0"/>
          <w:sz w:val="24"/>
          <w:szCs w:val="24"/>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九、买受人有下列行为之一的，视为违约：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1、网络成交后，买受人反悔的；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2、买受人逾期或拒绝签订《成交确认书》、《债权转让协议》的；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3、买受人逾期或拒绝按照《成交确认书》的约定支付拍卖成交价款</w:t>
      </w:r>
      <w:r>
        <w:rPr>
          <w:rFonts w:hint="eastAsia" w:ascii="宋体" w:hAnsi="宋体" w:cs="宋体"/>
          <w:i w:val="0"/>
          <w:caps w:val="0"/>
          <w:color w:val="333333"/>
          <w:spacing w:val="0"/>
          <w:sz w:val="24"/>
          <w:szCs w:val="24"/>
          <w:shd w:val="clear" w:fill="FFFFFF"/>
          <w:lang w:eastAsia="zh-CN"/>
        </w:rPr>
        <w:t>及佣金</w:t>
      </w:r>
      <w:r>
        <w:rPr>
          <w:rFonts w:hint="eastAsia" w:ascii="宋体" w:hAnsi="宋体" w:eastAsia="宋体" w:cs="宋体"/>
          <w:i w:val="0"/>
          <w:caps w:val="0"/>
          <w:color w:val="333333"/>
          <w:spacing w:val="0"/>
          <w:sz w:val="24"/>
          <w:szCs w:val="24"/>
          <w:shd w:val="clear" w:fill="FFFFFF"/>
        </w:rPr>
        <w:t>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买受人违约的，委托人和拍卖人有权取消其买受人资格，并有权不予返还其竞买保证金。因买受人违约，委托人另行出让该标的的，买受人还须根据《中华人民共和国拍卖法》第三十九条第二款之规定承担责任：拍卖标的再行拍卖的，原买受人应当支付第一次拍卖中本人及委托人应当支付的佣金，再行拍卖的价款低于原拍卖价款的，原买受人应当补足差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十、买受人付清拍卖成交价款</w:t>
      </w:r>
      <w:r>
        <w:rPr>
          <w:rFonts w:hint="eastAsia" w:ascii="宋体" w:hAnsi="宋体" w:cs="宋体"/>
          <w:i w:val="0"/>
          <w:caps w:val="0"/>
          <w:color w:val="333333"/>
          <w:spacing w:val="0"/>
          <w:sz w:val="24"/>
          <w:szCs w:val="24"/>
          <w:shd w:val="clear" w:fill="FFFFFF"/>
          <w:lang w:eastAsia="zh-CN"/>
        </w:rPr>
        <w:t>及佣金</w:t>
      </w:r>
      <w:r>
        <w:rPr>
          <w:rFonts w:hint="eastAsia" w:ascii="宋体" w:hAnsi="宋体" w:eastAsia="宋体" w:cs="宋体"/>
          <w:i w:val="0"/>
          <w:caps w:val="0"/>
          <w:color w:val="333333"/>
          <w:spacing w:val="0"/>
          <w:sz w:val="24"/>
          <w:szCs w:val="24"/>
          <w:shd w:val="clear" w:fill="FFFFFF"/>
        </w:rPr>
        <w:t>后，方可获取拍卖标的，由委托人与买受人直接交接，且以标的现状交付。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十</w:t>
      </w:r>
      <w:r>
        <w:rPr>
          <w:rFonts w:hint="eastAsia" w:ascii="宋体" w:hAnsi="宋体" w:cs="宋体"/>
          <w:i w:val="0"/>
          <w:caps w:val="0"/>
          <w:color w:val="333333"/>
          <w:spacing w:val="0"/>
          <w:sz w:val="24"/>
          <w:szCs w:val="24"/>
          <w:shd w:val="clear" w:fill="FFFFFF"/>
          <w:lang w:eastAsia="zh-CN"/>
        </w:rPr>
        <w:t>一</w:t>
      </w:r>
      <w:r>
        <w:rPr>
          <w:rFonts w:hint="eastAsia" w:ascii="宋体" w:hAnsi="宋体" w:eastAsia="宋体" w:cs="宋体"/>
          <w:i w:val="0"/>
          <w:caps w:val="0"/>
          <w:color w:val="333333"/>
          <w:spacing w:val="0"/>
          <w:sz w:val="24"/>
          <w:szCs w:val="24"/>
          <w:shd w:val="clear" w:fill="FFFFFF"/>
        </w:rPr>
        <w:t>、本《拍卖规则》解释权归光彩银星拍卖有限公司。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微软雅黑" w:hAnsi="微软雅黑" w:eastAsia="微软雅黑" w:cs="微软雅黑"/>
          <w:i w:val="0"/>
          <w:caps w:val="0"/>
          <w:color w:val="333333"/>
          <w:spacing w:val="0"/>
          <w:sz w:val="21"/>
          <w:szCs w:val="21"/>
        </w:rPr>
      </w:pPr>
      <w:r>
        <w:rPr>
          <w:rStyle w:val="13"/>
          <w:rFonts w:hint="eastAsia" w:ascii="宋体" w:hAnsi="宋体" w:eastAsia="宋体" w:cs="宋体"/>
          <w:i w:val="0"/>
          <w:caps w:val="0"/>
          <w:color w:val="333333"/>
          <w:spacing w:val="0"/>
          <w:sz w:val="24"/>
          <w:szCs w:val="24"/>
          <w:shd w:val="clear" w:fill="FFFFFF"/>
        </w:rPr>
        <w:t>竞买人已经在展示时间内认真查看了上述拍卖标的，了解标的一切现状，愿意按照标的的现状参加竞买，对标的展示无异议，认可、接受本《拍卖规则》的一切内容，并收到了本《拍卖规则》。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color w:val="000000"/>
          <w:sz w:val="28"/>
          <w:szCs w:val="28"/>
        </w:rPr>
      </w:pPr>
    </w:p>
    <w:p>
      <w:pPr>
        <w:snapToGrid/>
        <w:spacing w:line="500" w:lineRule="exact"/>
        <w:ind w:firstLine="482" w:firstLineChars="200"/>
        <w:jc w:val="left"/>
        <w:rPr>
          <w:rStyle w:val="13"/>
          <w:rFonts w:hint="eastAsia" w:ascii="宋体" w:hAnsi="宋体" w:eastAsia="宋体" w:cs="宋体"/>
          <w:i w:val="0"/>
          <w:caps w:val="0"/>
          <w:color w:val="333333"/>
          <w:spacing w:val="0"/>
          <w:kern w:val="0"/>
          <w:sz w:val="24"/>
          <w:szCs w:val="24"/>
          <w:shd w:val="clear" w:fill="FFFFFF"/>
          <w:lang w:val="en-US" w:eastAsia="zh-CN" w:bidi="ar"/>
        </w:rPr>
      </w:pPr>
      <w:r>
        <w:rPr>
          <w:rStyle w:val="13"/>
          <w:rFonts w:hint="eastAsia" w:ascii="宋体" w:hAnsi="宋体" w:eastAsia="宋体" w:cs="宋体"/>
          <w:i w:val="0"/>
          <w:caps w:val="0"/>
          <w:color w:val="333333"/>
          <w:spacing w:val="0"/>
          <w:kern w:val="0"/>
          <w:sz w:val="24"/>
          <w:szCs w:val="24"/>
          <w:shd w:val="clear" w:fill="FFFFFF"/>
          <w:lang w:val="en-US" w:eastAsia="zh-CN" w:bidi="ar"/>
        </w:rPr>
        <w:t>竞买人（盖章）：</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lef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r>
        <w:rPr>
          <w:rStyle w:val="13"/>
          <w:rFonts w:hint="eastAsia" w:ascii="宋体" w:hAnsi="宋体" w:eastAsia="宋体" w:cs="宋体"/>
          <w:i w:val="0"/>
          <w:caps w:val="0"/>
          <w:color w:val="333333"/>
          <w:spacing w:val="0"/>
          <w:kern w:val="0"/>
          <w:sz w:val="24"/>
          <w:szCs w:val="24"/>
          <w:shd w:val="clear" w:fill="FFFFFF"/>
          <w:lang w:val="en-US" w:eastAsia="zh-CN" w:bidi="ar"/>
        </w:rPr>
        <w:t>法定代表人：</w:t>
      </w:r>
      <w:r>
        <w:rPr>
          <w:rStyle w:val="13"/>
          <w:rFonts w:hint="eastAsia" w:ascii="宋体" w:hAnsi="宋体" w:eastAsia="宋体" w:cs="宋体"/>
          <w:i w:val="0"/>
          <w:caps w:val="0"/>
          <w:color w:val="333333"/>
          <w:spacing w:val="0"/>
          <w:kern w:val="0"/>
          <w:sz w:val="24"/>
          <w:szCs w:val="24"/>
          <w:shd w:val="clear" w:fill="FFFFFF"/>
          <w:lang w:val="en-US" w:eastAsia="zh-CN" w:bidi="ar"/>
        </w:rPr>
        <w:br w:type="textWrapping"/>
      </w:r>
      <w:r>
        <w:rPr>
          <w:rStyle w:val="13"/>
          <w:rFonts w:hint="eastAsia" w:ascii="宋体" w:hAnsi="宋体" w:eastAsia="宋体" w:cs="宋体"/>
          <w:i w:val="0"/>
          <w:caps w:val="0"/>
          <w:color w:val="333333"/>
          <w:spacing w:val="0"/>
          <w:kern w:val="0"/>
          <w:sz w:val="24"/>
          <w:szCs w:val="24"/>
          <w:shd w:val="clear" w:fill="FFFFFF"/>
          <w:lang w:val="en-US" w:eastAsia="zh-CN" w:bidi="ar"/>
        </w:rPr>
        <w:t xml:space="preserve">    或委托代理人（签名）：     </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482" w:firstLineChars="200"/>
        <w:jc w:val="right"/>
        <w:textAlignment w:val="auto"/>
        <w:outlineLvl w:val="9"/>
        <w:rPr>
          <w:rStyle w:val="13"/>
          <w:rFonts w:hint="eastAsia" w:ascii="宋体" w:hAnsi="宋体" w:eastAsia="宋体" w:cs="宋体"/>
          <w:i w:val="0"/>
          <w:caps w:val="0"/>
          <w:color w:val="333333"/>
          <w:spacing w:val="0"/>
          <w:kern w:val="0"/>
          <w:sz w:val="24"/>
          <w:szCs w:val="24"/>
          <w:shd w:val="clear" w:fill="FFFFFF"/>
          <w:lang w:val="en-US" w:eastAsia="zh-CN" w:bidi="ar"/>
        </w:rPr>
      </w:pPr>
      <w:r>
        <w:rPr>
          <w:rStyle w:val="13"/>
          <w:rFonts w:hint="eastAsia" w:ascii="宋体" w:hAnsi="宋体" w:eastAsia="宋体" w:cs="宋体"/>
          <w:i w:val="0"/>
          <w:caps w:val="0"/>
          <w:color w:val="333333"/>
          <w:spacing w:val="0"/>
          <w:kern w:val="0"/>
          <w:sz w:val="24"/>
          <w:szCs w:val="24"/>
          <w:shd w:val="clear" w:fill="FFFFFF"/>
          <w:lang w:val="en-US" w:eastAsia="zh-CN" w:bidi="ar"/>
        </w:rPr>
        <w:t xml:space="preserve"> 光彩银星拍卖有限公司 </w:t>
      </w:r>
    </w:p>
    <w:p>
      <w:pPr>
        <w:ind w:firstLine="560" w:firstLineChars="200"/>
        <w:jc w:val="right"/>
        <w:rPr>
          <w:rFonts w:hint="default" w:ascii="宋体" w:hAnsi="宋体" w:eastAsia="宋体" w:cs="宋体"/>
          <w:i w:val="0"/>
          <w:caps w:val="0"/>
          <w:color w:val="333333"/>
          <w:spacing w:val="0"/>
          <w:kern w:val="0"/>
          <w:sz w:val="24"/>
          <w:szCs w:val="24"/>
          <w:lang w:val="en-US" w:eastAsia="zh-CN" w:bidi="ar"/>
        </w:rPr>
      </w:pPr>
      <w:r>
        <w:rPr>
          <w:rFonts w:hint="eastAsia" w:ascii="仿宋" w:hAnsi="仿宋" w:eastAsia="仿宋" w:cs="Times New Roman"/>
          <w:color w:val="000000"/>
          <w:sz w:val="28"/>
          <w:szCs w:val="28"/>
          <w:lang w:val="en-US" w:eastAsia="zh-CN"/>
        </w:rPr>
        <w:t>2020年10</w:t>
      </w:r>
      <w:bookmarkStart w:id="1" w:name="_GoBack"/>
      <w:bookmarkEnd w:id="1"/>
      <w:r>
        <w:rPr>
          <w:rFonts w:hint="eastAsia" w:ascii="仿宋" w:hAnsi="仿宋" w:eastAsia="仿宋" w:cs="Times New Roman"/>
          <w:color w:val="000000"/>
          <w:sz w:val="28"/>
          <w:szCs w:val="28"/>
          <w:lang w:val="en-US" w:eastAsia="zh-CN"/>
        </w:rPr>
        <w:t>月16日</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2" w:firstLineChars="200"/>
        <w:jc w:val="right"/>
        <w:textAlignment w:val="auto"/>
        <w:outlineLvl w:val="9"/>
        <w:rPr>
          <w:rFonts w:hint="eastAsia"/>
        </w:rPr>
      </w:pPr>
      <w:r>
        <w:rPr>
          <w:rFonts w:hint="eastAsia" w:ascii="宋体" w:hAnsi="宋体" w:eastAsia="宋体"/>
          <w:b/>
          <w:bCs/>
          <w:sz w:val="28"/>
          <w:szCs w:val="28"/>
          <w:lang w:val="en-US" w:eastAsia="zh-CN"/>
        </w:rPr>
        <w:t xml:space="preserve"> </w:t>
      </w:r>
      <w:r>
        <w:rPr>
          <w:rStyle w:val="13"/>
          <w:rFonts w:hint="eastAsia" w:ascii="宋体" w:hAnsi="宋体" w:eastAsia="宋体" w:cs="宋体"/>
          <w:i w:val="0"/>
          <w:caps w:val="0"/>
          <w:color w:val="333333"/>
          <w:spacing w:val="0"/>
          <w:kern w:val="0"/>
          <w:sz w:val="24"/>
          <w:szCs w:val="24"/>
          <w:shd w:val="clear" w:fill="FFFFFF"/>
          <w:lang w:val="en-US" w:eastAsia="zh-CN" w:bidi="ar"/>
        </w:rPr>
        <w:t xml:space="preserve"> </w:t>
      </w:r>
      <w:bookmarkEnd w:id="0"/>
    </w:p>
    <w:sectPr>
      <w:headerReference r:id="rId3" w:type="default"/>
      <w:footerReference r:id="rId4" w:type="even"/>
      <w:pgSz w:w="11906" w:h="16838"/>
      <w:pgMar w:top="991" w:right="1081" w:bottom="947" w:left="1165"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A2395"/>
    <w:rsid w:val="00AE233D"/>
    <w:rsid w:val="00F64EF0"/>
    <w:rsid w:val="02AF1D28"/>
    <w:rsid w:val="0385359F"/>
    <w:rsid w:val="04014823"/>
    <w:rsid w:val="048316F3"/>
    <w:rsid w:val="04F87B2A"/>
    <w:rsid w:val="05C81FBC"/>
    <w:rsid w:val="067F08FD"/>
    <w:rsid w:val="06893D04"/>
    <w:rsid w:val="07301B33"/>
    <w:rsid w:val="07DE5025"/>
    <w:rsid w:val="08914EF3"/>
    <w:rsid w:val="09E45ACF"/>
    <w:rsid w:val="0A603B75"/>
    <w:rsid w:val="0A635A27"/>
    <w:rsid w:val="0A84791F"/>
    <w:rsid w:val="0AAA5A38"/>
    <w:rsid w:val="0C4E2BB0"/>
    <w:rsid w:val="0CCB71DE"/>
    <w:rsid w:val="0CFF139B"/>
    <w:rsid w:val="0D3C294A"/>
    <w:rsid w:val="0DB967DB"/>
    <w:rsid w:val="0DD76853"/>
    <w:rsid w:val="10EC3455"/>
    <w:rsid w:val="12D92771"/>
    <w:rsid w:val="172511D3"/>
    <w:rsid w:val="1733612F"/>
    <w:rsid w:val="17BF6828"/>
    <w:rsid w:val="182E1E94"/>
    <w:rsid w:val="187F1529"/>
    <w:rsid w:val="18DA01BF"/>
    <w:rsid w:val="1B0C61E2"/>
    <w:rsid w:val="1B405B91"/>
    <w:rsid w:val="1BA00982"/>
    <w:rsid w:val="1BD821C9"/>
    <w:rsid w:val="1C901686"/>
    <w:rsid w:val="1CA84CCA"/>
    <w:rsid w:val="1EEA2886"/>
    <w:rsid w:val="1F4320CE"/>
    <w:rsid w:val="1F587512"/>
    <w:rsid w:val="1F9A2CE3"/>
    <w:rsid w:val="201B5713"/>
    <w:rsid w:val="205A56BD"/>
    <w:rsid w:val="21C35BAA"/>
    <w:rsid w:val="221A449A"/>
    <w:rsid w:val="22497819"/>
    <w:rsid w:val="22563396"/>
    <w:rsid w:val="22FF766C"/>
    <w:rsid w:val="23383A2C"/>
    <w:rsid w:val="23730E85"/>
    <w:rsid w:val="242E24DC"/>
    <w:rsid w:val="24894950"/>
    <w:rsid w:val="25863755"/>
    <w:rsid w:val="261847C7"/>
    <w:rsid w:val="265A5AD5"/>
    <w:rsid w:val="285C17EC"/>
    <w:rsid w:val="28A52C94"/>
    <w:rsid w:val="28CC43F0"/>
    <w:rsid w:val="2C926EF8"/>
    <w:rsid w:val="2D4C18D0"/>
    <w:rsid w:val="2D862465"/>
    <w:rsid w:val="2DD93923"/>
    <w:rsid w:val="2E5E3276"/>
    <w:rsid w:val="2F5312A2"/>
    <w:rsid w:val="308D4317"/>
    <w:rsid w:val="30AC0358"/>
    <w:rsid w:val="30AC207D"/>
    <w:rsid w:val="30F31E4D"/>
    <w:rsid w:val="31614E9C"/>
    <w:rsid w:val="34D71581"/>
    <w:rsid w:val="36203E85"/>
    <w:rsid w:val="36500FCC"/>
    <w:rsid w:val="37387C94"/>
    <w:rsid w:val="377A6D97"/>
    <w:rsid w:val="39242E96"/>
    <w:rsid w:val="3969123A"/>
    <w:rsid w:val="3C4F5DCE"/>
    <w:rsid w:val="3CCF0362"/>
    <w:rsid w:val="3DB630F2"/>
    <w:rsid w:val="3EC15928"/>
    <w:rsid w:val="3FDC3784"/>
    <w:rsid w:val="40CA336D"/>
    <w:rsid w:val="42390C4C"/>
    <w:rsid w:val="427F27FB"/>
    <w:rsid w:val="43DD537B"/>
    <w:rsid w:val="44367803"/>
    <w:rsid w:val="44521830"/>
    <w:rsid w:val="44B64AA4"/>
    <w:rsid w:val="45AC504A"/>
    <w:rsid w:val="46B52DAC"/>
    <w:rsid w:val="4727286F"/>
    <w:rsid w:val="47D95691"/>
    <w:rsid w:val="48316BCD"/>
    <w:rsid w:val="48BB28F5"/>
    <w:rsid w:val="49522183"/>
    <w:rsid w:val="49547170"/>
    <w:rsid w:val="49F91996"/>
    <w:rsid w:val="4B5F3E20"/>
    <w:rsid w:val="4C825254"/>
    <w:rsid w:val="4D531834"/>
    <w:rsid w:val="4D781468"/>
    <w:rsid w:val="4E8F3C84"/>
    <w:rsid w:val="508D4606"/>
    <w:rsid w:val="50B93EB1"/>
    <w:rsid w:val="50BE54B7"/>
    <w:rsid w:val="51E8387D"/>
    <w:rsid w:val="521438BA"/>
    <w:rsid w:val="54020070"/>
    <w:rsid w:val="55CF367F"/>
    <w:rsid w:val="56377E31"/>
    <w:rsid w:val="56A039E6"/>
    <w:rsid w:val="57012BD2"/>
    <w:rsid w:val="5708388D"/>
    <w:rsid w:val="5726074A"/>
    <w:rsid w:val="587B6098"/>
    <w:rsid w:val="59174676"/>
    <w:rsid w:val="593B104D"/>
    <w:rsid w:val="597F7BCF"/>
    <w:rsid w:val="5BCB7EDE"/>
    <w:rsid w:val="5BFE4B6D"/>
    <w:rsid w:val="5C057000"/>
    <w:rsid w:val="5C1E1110"/>
    <w:rsid w:val="5C5B34A8"/>
    <w:rsid w:val="5C7F41B3"/>
    <w:rsid w:val="5C836238"/>
    <w:rsid w:val="5CD965D6"/>
    <w:rsid w:val="5D2255D9"/>
    <w:rsid w:val="5D3600A3"/>
    <w:rsid w:val="5D447242"/>
    <w:rsid w:val="5D823D53"/>
    <w:rsid w:val="5D9A4840"/>
    <w:rsid w:val="5DCA14BC"/>
    <w:rsid w:val="5EB30786"/>
    <w:rsid w:val="5F382043"/>
    <w:rsid w:val="5F8F6EFD"/>
    <w:rsid w:val="60F352BD"/>
    <w:rsid w:val="62332BA5"/>
    <w:rsid w:val="62625FBF"/>
    <w:rsid w:val="630920CD"/>
    <w:rsid w:val="63B86326"/>
    <w:rsid w:val="65603FBA"/>
    <w:rsid w:val="65C46A55"/>
    <w:rsid w:val="66144BF5"/>
    <w:rsid w:val="6622572D"/>
    <w:rsid w:val="662E2B92"/>
    <w:rsid w:val="679601EE"/>
    <w:rsid w:val="68F26432"/>
    <w:rsid w:val="69375DE8"/>
    <w:rsid w:val="6A9928BD"/>
    <w:rsid w:val="6AF456DC"/>
    <w:rsid w:val="6F11494C"/>
    <w:rsid w:val="713D786D"/>
    <w:rsid w:val="71752F89"/>
    <w:rsid w:val="73951CAC"/>
    <w:rsid w:val="73B4632E"/>
    <w:rsid w:val="74E32F0F"/>
    <w:rsid w:val="75250F8C"/>
    <w:rsid w:val="75D80883"/>
    <w:rsid w:val="765E6165"/>
    <w:rsid w:val="76860860"/>
    <w:rsid w:val="76AF4D57"/>
    <w:rsid w:val="772B2ADC"/>
    <w:rsid w:val="7787567B"/>
    <w:rsid w:val="784E46E3"/>
    <w:rsid w:val="79A92AEA"/>
    <w:rsid w:val="7A9D0A25"/>
    <w:rsid w:val="7D0A744E"/>
    <w:rsid w:val="7DA87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8"/>
      <w:szCs w:val="24"/>
    </w:rPr>
  </w:style>
  <w:style w:type="paragraph" w:styleId="3">
    <w:name w:val="Body Text Indent"/>
    <w:basedOn w:val="1"/>
    <w:qFormat/>
    <w:uiPriority w:val="0"/>
    <w:pPr>
      <w:ind w:left="-178" w:leftChars="-85" w:firstLine="178" w:firstLineChars="74"/>
    </w:pPr>
    <w:rPr>
      <w:rFonts w:ascii="宋体" w:hAnsi="宋体"/>
      <w:sz w:val="24"/>
      <w:szCs w:val="24"/>
    </w:rPr>
  </w:style>
  <w:style w:type="paragraph" w:styleId="4">
    <w:name w:val="Body Text Indent 2"/>
    <w:basedOn w:val="1"/>
    <w:qFormat/>
    <w:uiPriority w:val="0"/>
    <w:pPr>
      <w:ind w:firstLine="538" w:firstLineChars="192"/>
    </w:pPr>
    <w:rPr>
      <w:rFonts w:ascii="宋体" w:hAnsi="宋体"/>
      <w:sz w:val="28"/>
      <w:szCs w:val="24"/>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560" w:firstLineChars="200"/>
    </w:pPr>
    <w:rPr>
      <w:rFonts w:ascii="宋体" w:hAnsi="宋体"/>
      <w:sz w:val="28"/>
      <w:szCs w:val="24"/>
    </w:rPr>
  </w:style>
  <w:style w:type="paragraph" w:styleId="9">
    <w:name w:val="Body Text 2"/>
    <w:basedOn w:val="1"/>
    <w:qFormat/>
    <w:uiPriority w:val="0"/>
    <w:pPr>
      <w:spacing w:after="120" w:afterLines="0" w:line="480" w:lineRule="auto"/>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kkk</Company>
  <Pages>1</Pages>
  <Words>275</Words>
  <Characters>1568</Characters>
  <Lines>13</Lines>
  <Paragraphs>3</Paragraphs>
  <TotalTime>0</TotalTime>
  <ScaleCrop>false</ScaleCrop>
  <LinksUpToDate>false</LinksUpToDate>
  <CharactersWithSpaces>1840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2007-06-19T01:14:00Z</dcterms:created>
  <dc:creator>ww</dc:creator>
  <cp:lastModifiedBy>hongl</cp:lastModifiedBy>
  <cp:lastPrinted>2020-04-14T07:03:00Z</cp:lastPrinted>
  <dcterms:modified xsi:type="dcterms:W3CDTF">2020-10-19T06:16:31Z</dcterms:modified>
  <dc:title>拍卖规则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