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90" w:firstLineChars="1900"/>
        <w:rPr>
          <w:rFonts w:ascii="楷体" w:hAnsi="楷体" w:eastAsia="楷体"/>
          <w:szCs w:val="21"/>
        </w:rPr>
      </w:pPr>
      <w:bookmarkStart w:id="0" w:name="_GoBack"/>
      <w:bookmarkEnd w:id="0"/>
    </w:p>
    <w:p>
      <w:pPr>
        <w:spacing w:line="360" w:lineRule="auto"/>
        <w:jc w:val="center"/>
        <w:outlineLvl w:val="0"/>
        <w:rPr>
          <w:rFonts w:ascii="楷体" w:hAnsi="楷体" w:eastAsia="楷体"/>
          <w:b/>
          <w:sz w:val="24"/>
          <w:u w:val="single"/>
        </w:rPr>
      </w:pPr>
    </w:p>
    <w:p>
      <w:pPr>
        <w:spacing w:line="360" w:lineRule="auto"/>
        <w:jc w:val="center"/>
        <w:outlineLvl w:val="0"/>
        <w:rPr>
          <w:rFonts w:ascii="楷体" w:hAnsi="楷体" w:eastAsia="楷体"/>
          <w:b/>
          <w:sz w:val="24"/>
          <w:u w:val="single"/>
        </w:rPr>
      </w:pPr>
    </w:p>
    <w:p>
      <w:pPr>
        <w:spacing w:line="360" w:lineRule="auto"/>
        <w:jc w:val="center"/>
        <w:outlineLvl w:val="0"/>
        <w:rPr>
          <w:rFonts w:ascii="楷体" w:hAnsi="楷体" w:eastAsia="楷体"/>
          <w:b/>
          <w:sz w:val="24"/>
        </w:rPr>
      </w:pPr>
      <w:r>
        <w:rPr>
          <w:rFonts w:hint="eastAsia" w:ascii="楷体" w:hAnsi="楷体" w:eastAsia="楷体"/>
          <w:b/>
          <w:sz w:val="24"/>
        </w:rPr>
        <w:t>委托拍卖协议</w:t>
      </w:r>
      <w:r>
        <w:rPr>
          <w:rFonts w:ascii="楷体" w:hAnsi="楷体" w:eastAsia="楷体"/>
          <w:b/>
          <w:sz w:val="24"/>
        </w:rPr>
        <w:t>附件清单</w:t>
      </w:r>
    </w:p>
    <w:p>
      <w:pPr>
        <w:spacing w:line="360" w:lineRule="auto"/>
        <w:jc w:val="center"/>
        <w:outlineLvl w:val="0"/>
        <w:rPr>
          <w:rFonts w:ascii="楷体" w:hAnsi="楷体" w:eastAsia="楷体"/>
          <w:b/>
          <w:sz w:val="24"/>
        </w:rPr>
      </w:pPr>
    </w:p>
    <w:p>
      <w:pPr>
        <w:tabs>
          <w:tab w:val="left" w:pos="8280"/>
        </w:tabs>
        <w:snapToGrid w:val="0"/>
        <w:spacing w:line="360" w:lineRule="auto"/>
        <w:ind w:left="1446" w:right="-154"/>
        <w:rPr>
          <w:rFonts w:ascii="楷体" w:hAnsi="楷体" w:eastAsia="楷体"/>
          <w:b/>
          <w:sz w:val="24"/>
        </w:rPr>
      </w:pPr>
      <w:r>
        <w:rPr>
          <w:rFonts w:ascii="楷体" w:hAnsi="楷体" w:eastAsia="楷体"/>
          <w:b/>
          <w:sz w:val="24"/>
        </w:rPr>
        <w:t>附件一：</w:t>
      </w:r>
      <w:r>
        <w:rPr>
          <w:rFonts w:hint="eastAsia" w:ascii="楷体" w:hAnsi="楷体" w:eastAsia="楷体"/>
          <w:b/>
          <w:sz w:val="24"/>
        </w:rPr>
        <w:t>拍卖债权明细</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附件二：</w:t>
      </w:r>
      <w:r>
        <w:rPr>
          <w:rFonts w:hint="eastAsia" w:ascii="楷体" w:hAnsi="楷体" w:eastAsia="楷体"/>
          <w:b/>
          <w:sz w:val="24"/>
        </w:rPr>
        <w:t>拍卖债权的权属文件</w:t>
      </w:r>
    </w:p>
    <w:p>
      <w:pPr>
        <w:tabs>
          <w:tab w:val="left" w:pos="8280"/>
        </w:tabs>
        <w:snapToGrid w:val="0"/>
        <w:spacing w:line="360" w:lineRule="auto"/>
        <w:ind w:right="-154" w:firstLine="1440" w:firstLineChars="600"/>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tabs>
          <w:tab w:val="left" w:pos="8280"/>
        </w:tabs>
        <w:snapToGrid w:val="0"/>
        <w:spacing w:line="360" w:lineRule="auto"/>
        <w:ind w:right="-154" w:firstLine="1440" w:firstLineChars="600"/>
        <w:rPr>
          <w:rFonts w:ascii="楷体" w:hAnsi="楷体" w:eastAsia="楷体"/>
          <w:b/>
          <w:sz w:val="24"/>
        </w:rPr>
      </w:pPr>
      <w:r>
        <w:rPr>
          <w:rFonts w:hint="eastAsia" w:ascii="楷体" w:hAnsi="楷体" w:eastAsia="楷体"/>
          <w:b/>
          <w:sz w:val="24"/>
        </w:rPr>
        <w:t>附件四：</w:t>
      </w:r>
      <w:r>
        <w:rPr>
          <w:rFonts w:ascii="楷体" w:hAnsi="楷体" w:eastAsia="楷体"/>
          <w:b/>
          <w:sz w:val="24"/>
        </w:rPr>
        <w:t>《</w:t>
      </w:r>
      <w:r>
        <w:rPr>
          <w:rFonts w:hint="eastAsia" w:ascii="楷体" w:hAnsi="楷体" w:eastAsia="楷体"/>
          <w:b/>
          <w:sz w:val="24"/>
        </w:rPr>
        <w:t>资产转让协议</w:t>
      </w:r>
      <w:r>
        <w:rPr>
          <w:rFonts w:ascii="楷体" w:hAnsi="楷体" w:eastAsia="楷体"/>
          <w:b/>
          <w:sz w:val="24"/>
        </w:rPr>
        <w:t>》</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附件五：拍卖成交确认书</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附件六：保密承诺函</w:t>
      </w:r>
    </w:p>
    <w:p>
      <w:pPr>
        <w:tabs>
          <w:tab w:val="left" w:pos="8280"/>
        </w:tabs>
        <w:adjustRightInd w:val="0"/>
        <w:snapToGrid w:val="0"/>
        <w:spacing w:line="360" w:lineRule="auto"/>
        <w:ind w:right="-153" w:firstLine="1440" w:firstLineChars="600"/>
        <w:rPr>
          <w:rFonts w:ascii="楷体" w:hAnsi="楷体" w:eastAsia="楷体"/>
          <w:b/>
          <w:sz w:val="24"/>
        </w:rPr>
      </w:pPr>
      <w:r>
        <w:rPr>
          <w:rFonts w:hint="eastAsia" w:ascii="楷体" w:hAnsi="楷体" w:eastAsia="楷体"/>
          <w:b/>
          <w:sz w:val="24"/>
        </w:rPr>
        <w:t>附件七：竞买人参加竞买承诺书</w:t>
      </w:r>
    </w:p>
    <w:p>
      <w:pPr>
        <w:rPr>
          <w:rFonts w:ascii="楷体" w:hAnsi="楷体" w:eastAsia="楷体"/>
        </w:rPr>
      </w:pPr>
    </w:p>
    <w:p>
      <w:pPr>
        <w:rPr>
          <w:rFonts w:ascii="楷体" w:hAnsi="楷体" w:eastAsia="楷体"/>
        </w:rPr>
        <w:sectPr>
          <w:headerReference r:id="rId3" w:type="default"/>
          <w:footerReference r:id="rId4" w:type="default"/>
          <w:footerReference r:id="rId5" w:type="even"/>
          <w:pgSz w:w="11906" w:h="16838"/>
          <w:pgMar w:top="1440" w:right="1797" w:bottom="1440" w:left="1797" w:header="851" w:footer="992" w:gutter="0"/>
          <w:pgNumType w:start="1"/>
          <w:cols w:space="720" w:num="1"/>
          <w:docGrid w:type="linesAndChars" w:linePitch="312" w:charSpace="0"/>
        </w:sectPr>
      </w:pPr>
      <w:r>
        <w:rPr>
          <w:rFonts w:ascii="楷体" w:hAnsi="楷体" w:eastAsia="楷体"/>
        </w:rPr>
        <w:t xml:space="preserve">     </w:t>
      </w:r>
    </w:p>
    <w:p>
      <w:pPr>
        <w:keepLines/>
        <w:spacing w:before="120" w:after="120"/>
        <w:ind w:firstLine="3132" w:firstLineChars="1300"/>
        <w:outlineLvl w:val="0"/>
        <w:rPr>
          <w:rFonts w:ascii="仿宋_GB2312" w:eastAsia="仿宋_GB2312"/>
          <w:b/>
          <w:kern w:val="44"/>
          <w:sz w:val="24"/>
        </w:rPr>
      </w:pPr>
      <w:r>
        <w:rPr>
          <w:rFonts w:hint="eastAsia" w:ascii="仿宋_GB2312" w:eastAsia="仿宋_GB2312"/>
          <w:b/>
          <w:kern w:val="44"/>
          <w:sz w:val="24"/>
        </w:rPr>
        <w:t>附件一：拍卖债权明细表</w:t>
      </w:r>
    </w:p>
    <w:p>
      <w:pPr>
        <w:ind w:right="480"/>
        <w:rPr>
          <w:rFonts w:eastAsia="仿宋_GB2312"/>
        </w:rPr>
      </w:pPr>
      <w:r>
        <w:rPr>
          <w:rFonts w:hint="eastAsia" w:ascii="仿宋_GB2312" w:eastAsia="仿宋_GB2312"/>
          <w:sz w:val="24"/>
        </w:rPr>
        <w:t xml:space="preserve">                                                      单位：万元</w:t>
      </w:r>
    </w:p>
    <w:tbl>
      <w:tblPr>
        <w:tblStyle w:val="10"/>
        <w:tblW w:w="8707" w:type="dxa"/>
        <w:tblInd w:w="-176" w:type="dxa"/>
        <w:tblLayout w:type="autofit"/>
        <w:tblCellMar>
          <w:top w:w="0" w:type="dxa"/>
          <w:left w:w="108" w:type="dxa"/>
          <w:bottom w:w="0" w:type="dxa"/>
          <w:right w:w="108" w:type="dxa"/>
        </w:tblCellMar>
      </w:tblPr>
      <w:tblGrid>
        <w:gridCol w:w="426"/>
        <w:gridCol w:w="1276"/>
        <w:gridCol w:w="1646"/>
        <w:gridCol w:w="1216"/>
        <w:gridCol w:w="1240"/>
        <w:gridCol w:w="1277"/>
        <w:gridCol w:w="1626"/>
      </w:tblGrid>
      <w:tr>
        <w:tblPrEx>
          <w:tblCellMar>
            <w:top w:w="0" w:type="dxa"/>
            <w:left w:w="108" w:type="dxa"/>
            <w:bottom w:w="0" w:type="dxa"/>
            <w:right w:w="108" w:type="dxa"/>
          </w:tblCellMar>
        </w:tblPrEx>
        <w:trPr>
          <w:trHeight w:val="443"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借款人</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贷款方式</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本金</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欠息</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本息合计</w:t>
            </w: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备注</w:t>
            </w:r>
          </w:p>
        </w:tc>
      </w:tr>
      <w:tr>
        <w:tblPrEx>
          <w:tblCellMar>
            <w:top w:w="0" w:type="dxa"/>
            <w:left w:w="108" w:type="dxa"/>
            <w:bottom w:w="0" w:type="dxa"/>
            <w:right w:w="108" w:type="dxa"/>
          </w:tblCellMar>
        </w:tblPrEx>
        <w:trPr>
          <w:trHeight w:val="65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淄博市临淄大顺置业有限公司</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在建工程抵押、山东大顺集团有限公司、李嘉才、李春利、于桂玲、李海明、张爱琴、李义侠、王俊红、李春欣、吴琼</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29,040.99</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4,425.06</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33,466.0</w:t>
            </w:r>
            <w:r>
              <w:rPr>
                <w:rFonts w:hint="eastAsia" w:ascii="宋体" w:hAnsi="宋体" w:cs="宋体"/>
                <w:color w:val="000000"/>
                <w:kern w:val="0"/>
                <w:szCs w:val="21"/>
                <w:lang w:val="en-US" w:eastAsia="zh-CN"/>
              </w:rPr>
              <w:t>5</w:t>
            </w: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650"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寿光裕丰置业有限公司</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在建工程抵押、股权质押、王庚业、刘红霞、牟哲盈、郑赟、青岛欣盛源通商贸有限公司担保</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5,000.00</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2,300.39</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7,300.39</w:t>
            </w: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利息金额包括罚息、复利及执行公证书费用、违约金（计算至破产宣告日） </w:t>
            </w:r>
          </w:p>
        </w:tc>
      </w:tr>
      <w:tr>
        <w:tblPrEx>
          <w:tblCellMar>
            <w:top w:w="0" w:type="dxa"/>
            <w:left w:w="108" w:type="dxa"/>
            <w:bottom w:w="0" w:type="dxa"/>
            <w:right w:w="108" w:type="dxa"/>
          </w:tblCellMar>
        </w:tblPrEx>
        <w:trPr>
          <w:trHeight w:val="347"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6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 </w:t>
            </w:r>
          </w:p>
        </w:tc>
        <w:tc>
          <w:tcPr>
            <w:tcW w:w="12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34,040.99</w:t>
            </w:r>
          </w:p>
        </w:tc>
        <w:tc>
          <w:tcPr>
            <w:tcW w:w="12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6,725.45</w:t>
            </w:r>
          </w:p>
        </w:tc>
        <w:tc>
          <w:tcPr>
            <w:tcW w:w="12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40,766.4</w:t>
            </w:r>
            <w:r>
              <w:rPr>
                <w:rFonts w:hint="eastAsia" w:ascii="宋体" w:hAnsi="宋体" w:cs="宋体"/>
                <w:color w:val="000000"/>
                <w:kern w:val="0"/>
                <w:szCs w:val="21"/>
                <w:lang w:val="en-US" w:eastAsia="zh-CN"/>
              </w:rPr>
              <w:t>4</w:t>
            </w:r>
          </w:p>
        </w:tc>
        <w:tc>
          <w:tcPr>
            <w:tcW w:w="16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rPr>
          <w:rFonts w:ascii="仿宋_GB2312" w:eastAsia="仿宋_GB2312"/>
          <w:color w:val="000000"/>
          <w:sz w:val="24"/>
        </w:rPr>
      </w:pPr>
    </w:p>
    <w:p>
      <w:pPr>
        <w:rPr>
          <w:rFonts w:ascii="仿宋_GB2312" w:eastAsia="仿宋_GB2312"/>
          <w:color w:val="000000"/>
          <w:sz w:val="24"/>
        </w:rPr>
      </w:pPr>
      <w:r>
        <w:rPr>
          <w:rFonts w:hint="eastAsia" w:ascii="仿宋_GB2312" w:eastAsia="仿宋_GB2312"/>
          <w:color w:val="000000"/>
          <w:sz w:val="24"/>
        </w:rPr>
        <w:t>注：债权数额最终以贷款资料载明或司法文书确认的为准</w:t>
      </w: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tabs>
          <w:tab w:val="left" w:pos="420"/>
        </w:tabs>
        <w:spacing w:line="380" w:lineRule="atLeast"/>
        <w:jc w:val="center"/>
        <w:outlineLvl w:val="0"/>
        <w:rPr>
          <w:rFonts w:eastAsia="仿宋_GB2312"/>
          <w:b/>
          <w:bCs/>
          <w:sz w:val="24"/>
        </w:rPr>
      </w:pPr>
    </w:p>
    <w:p>
      <w:pPr>
        <w:jc w:val="center"/>
        <w:rPr>
          <w:rFonts w:ascii="仿宋_GB2312" w:eastAsia="仿宋_GB2312"/>
          <w:b/>
          <w:color w:val="000000"/>
          <w:sz w:val="24"/>
        </w:rPr>
      </w:pPr>
      <w:r>
        <w:rPr>
          <w:rFonts w:hint="eastAsia" w:ascii="仿宋_GB2312" w:eastAsia="仿宋_GB2312"/>
          <w:b/>
          <w:color w:val="000000"/>
          <w:sz w:val="24"/>
        </w:rPr>
        <w:t>附件二：拍卖债权权属文件清单</w:t>
      </w:r>
    </w:p>
    <w:p>
      <w:pPr>
        <w:jc w:val="left"/>
        <w:rPr>
          <w:rFonts w:ascii="仿宋_GB2312" w:eastAsia="仿宋_GB2312"/>
          <w:sz w:val="24"/>
        </w:rPr>
      </w:pPr>
      <w:r>
        <w:rPr>
          <w:rFonts w:hint="eastAsia" w:ascii="仿宋_GB2312" w:eastAsia="仿宋_GB2312" w:cs="仿宋_GB2312"/>
          <w:bCs/>
          <w:kern w:val="44"/>
          <w:sz w:val="24"/>
        </w:rPr>
        <w:t>企业名称：</w:t>
      </w:r>
      <w:r>
        <w:rPr>
          <w:rFonts w:hint="eastAsia" w:ascii="仿宋_GB2312" w:eastAsia="仿宋_GB2312"/>
          <w:b/>
          <w:sz w:val="24"/>
        </w:rPr>
        <w:t>淄博市临淄大顺置业有限公司</w:t>
      </w:r>
    </w:p>
    <w:tbl>
      <w:tblPr>
        <w:tblStyle w:val="10"/>
        <w:tblW w:w="8620" w:type="dxa"/>
        <w:tblInd w:w="101" w:type="dxa"/>
        <w:tblLayout w:type="autofit"/>
        <w:tblCellMar>
          <w:top w:w="0" w:type="dxa"/>
          <w:left w:w="108" w:type="dxa"/>
          <w:bottom w:w="0" w:type="dxa"/>
          <w:right w:w="108" w:type="dxa"/>
        </w:tblCellMar>
      </w:tblPr>
      <w:tblGrid>
        <w:gridCol w:w="520"/>
        <w:gridCol w:w="5940"/>
        <w:gridCol w:w="660"/>
        <w:gridCol w:w="620"/>
        <w:gridCol w:w="880"/>
      </w:tblGrid>
      <w:tr>
        <w:tblPrEx>
          <w:tblCellMar>
            <w:top w:w="0" w:type="dxa"/>
            <w:left w:w="108" w:type="dxa"/>
            <w:bottom w:w="0" w:type="dxa"/>
            <w:right w:w="108" w:type="dxa"/>
          </w:tblCellMar>
        </w:tblPrEx>
        <w:trPr>
          <w:trHeight w:val="98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序号</w:t>
            </w:r>
          </w:p>
        </w:tc>
        <w:tc>
          <w:tcPr>
            <w:tcW w:w="5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重要凭证名称及编号</w:t>
            </w:r>
          </w:p>
        </w:tc>
        <w:tc>
          <w:tcPr>
            <w:tcW w:w="6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原件份数</w:t>
            </w:r>
          </w:p>
        </w:tc>
        <w:tc>
          <w:tcPr>
            <w:tcW w:w="6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复印件份数</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备注</w:t>
            </w:r>
          </w:p>
        </w:tc>
      </w:tr>
      <w:tr>
        <w:tblPrEx>
          <w:tblCellMar>
            <w:top w:w="0" w:type="dxa"/>
            <w:left w:w="108" w:type="dxa"/>
            <w:bottom w:w="0" w:type="dxa"/>
            <w:right w:w="108" w:type="dxa"/>
          </w:tblCellMar>
        </w:tblPrEx>
        <w:trPr>
          <w:trHeight w:val="521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借款凭证：No.00083411、No.00032435、No.00083353、No.00032433、No.00083307、No.00032345、No.00083305、No.00083312、No.00083306、No.00083309、No.00083418、No.00083329、No.00083327、No.00083322、No.00083323、No.00083326、No.00083325、No.00083328、No.00083308、No.00083419、No.00032354、No.00032350、No.00032438、No.00032348、No.00032347、No.00032437、No.00032344、No.00083333、No.00083335、No.00083332、No.00083334、No.00083337、No.00083350、No.00083349、No.00083336、No.00083339、No.00080642、No.00080629、No.0000700、No.0000694、No.00080675、No.00080665、No.00080646、No.00080671、No.00080643、No.00080626、No.00080627、No.0000699、No.0001306、No.0000695、No.00080624、No.00080670、No.0000698、No.0001310、No.00080621、No.00080674、No.00080664、No.0001308、No.00080677、No.00080662、No.00080673、No.00080625、No.00080623、No.00080663、No.00080645、No.00080666、No.00080622、No.00080678、No.00080669、No.0001305、No.0001304、No.00080668</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72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5802"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在建工程抵押登记证明：淄博市房建临淄区字YT07-1000299号、淄博市房建临淄区字YT07-1000298号、淄博市房建临淄区字YT07-1000297号、淄博市房建临淄区字YT07-1000296号、淄博市房建临淄区字YT07-1000295号、淄博市房建临淄区字YT07-1000294号、淄博市房建临淄区字YT07-1000292号、淄博市房建临淄区字YT07-1000291号、淄博市房建临淄区字YT07-1000290号、淄博市房建临淄区字YT07-1000289号、淄博市房建临淄区字YT07-1000288号、淄博市房建临淄区字YT07-1000287号、淄博市房建临淄区字YT07-1000286号、淄博市房建临淄区字YT07-1000285号、淄博市房建临淄区字YT07-1000284号、淄博市房建临淄区字YT07-1000283号、淄博市房建临淄区字YT07-1000282号、淄博市房建临淄区字YT07-1000281号、淄博市房建临淄区字YT07-1000280号、淄博市房建临淄区字YT07-1000279号、淄博市房建临淄区字YT07-1000278号、淄博市房建临淄区字YT07-1000277号、淄博市房建临淄区字YT07-1000276号、淄博市房建临淄区字YT07-1000275号、淄博市房建临淄区字YT07-1000274号、淄博市房建临淄区字YT07-1000273号、淄博市房建临淄区字YT07-1000272号、淄博市房建临淄区字YT07-1000271号、淄博市房建临淄区字YT07-1000270号、淄博市房建临淄区字YT07-1000269号、淄博市房建临淄区字YT07-1000268号、淄博市房建临淄区字YT07-1000267号、淄博市房建临淄区字YT07-1000266号、淄博市房建临淄区字YT07-1000265号、淄博市房建临淄区字YT07-1000264号、淄博市房建临淄区字YT07-1000263号、淄博市房建临淄区字YT07-1000262号、淄博市房建临淄区字YT07-1000261号、淄博市房建临淄区字YT07-1000260号、淄博市房建临淄区字YT07-1000259号、淄博市房建临淄区字YT07-1000258号、淄博市房建临淄区字YT07-1000257号、淄博市房建临淄区字YT07-1000349号、淄博市房建临淄区字YT07-1000348号、淄博市房建临淄区字YT07-1000347号、淄博市房建临淄区字YT07-1000346号、淄博市房建临淄区字YT07-1000345号、淄博市房建临淄区字YT07-1000344号、淄博市房建临淄区字YT07-1000343号、淄博市房建临淄区字YT07-1000342号、淄博市房建临淄区字YT07-1000341号、淄博市房建临淄区字YT07-1000340号、淄博市房建临淄区字YT07-1000339号、淄博市房建临淄区字YT07-1000338号、淄博市房建临淄区字YT07-1000337号、淄博市房建临淄区字YT07-1000336号、淄博市房建临淄区字YT07-1000335号、淄博市房建临淄区字YT07-1000334号、淄博市房建临淄区字YT07-1000333号、淄博市房建临淄区字YT07-1000332号、淄博市房建临淄区字YT07-1000331号、淄博市房建临淄区字YT07-1000330号、淄博市房建临淄区字YT07-1000329号、淄博市房建临淄区字YT07-1000328号、淄博市房建临淄区字YT07-1000327号、淄博市房建临淄区字YT07-1000326号、淄博市房建临淄区字YT07-1000325号、淄博市房建临淄区字YT07-1000324号、淄博市房建临淄区字YT07-1000323号、淄博市房建临淄区字YT07-1000322号、淄博市房建临淄区字YT07-1000321号、淄博市房建临淄区字YT07-1000320号、淄博市房建临淄区字YT07-1000319号、淄博市房建临淄区字YT07-1000318号、淄博市房建临淄区字YT07-1000317号、淄博市房建临淄区字YT07-1000316号、淄博市房建临淄区字YT07-1000315号、淄博市房建临淄区字YT07-1000314号、淄博市房建临淄区字YT07-1000313号、淄博市房建临淄区字YT07-1000312号、淄博市房建临淄区字YT07-1000311号、淄博市房建临淄区字YT07-1000310号、淄博市房建临淄区字YT07-1000309号、淄博市房建临淄区字YT07-1000308号、淄博市房建临淄区字YT07-1000307号、淄博市房建临淄区字YT07-1000306号、淄博市房建临淄区字YT07-1000305号、淄博市房建临淄区字YT07-1000304号、淄博市房建临淄区字YT07-1000303号、淄博市房建临淄区字YT07-1000302号、淄博市房建临淄区字YT07-1000301号、淄博市房建临淄区字YT07-1000300号</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92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69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3</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在建工程抵押登记证明：淄博市房建临淄区字YT07-1000216号、淄博市房建临淄区字YT07-1000217号、淄博市房建临淄区字YT07-1000218号、淄博市房建临淄区字YT07-1000219号、淄博市房建临淄区字YT07-1000220号、淄博市房建临淄区字YT07-1000221号、淄博市房建临淄区字YT07-1000222号、淄博市房建临淄区字YT07-1000223号、淄博市房建临淄区字YT07-1000224号、淄博市房建临淄区字YT07-1000225号、淄博市房建临淄区字YT07-1000226号、淄博市房建临淄区字YT07-1000227号、淄博市房建临淄区字YT07-1000228号、淄博市房建临淄区字YT07-1000229号、淄博市房建临淄区字YT07-1000230号、淄博市房建临淄区字YT07-1000231号、淄博市房建临淄区字YT07-1000232号、淄博市房建临淄区字YT07-1000233号、淄博市房建临淄区字YT07-1000234号、淄博市房建临淄区字YT07-1000235号、淄博市房建临淄区字YT07-1000236号、淄博市房建临淄区字YT07-1000237号、淄博市房建临淄区字YT07-1000238号、淄博市房建临淄区字YT07-1000239号、淄博市房建临淄区字YT07-1000240号、淄博市房建临淄区字YT07-1000241号、淄博市房建临淄区字YT07-1000242号、淄博市房建临淄区字YT07-1000243号、淄博市房建临淄区字YT07-1000244号、淄博市房建临淄区字YT07-1000245号、淄博市房建临淄区字YT07-1000246号、淄博市房建临淄区字YT07-1000247号、淄博市房建临淄区字YT07-1000248号、淄博市房建临淄区字YT07-1000249号、淄博市房建临淄区字YT07-1000250号、淄博市房建临淄区字YT07-1000251号、淄博市房建临淄区字YT07-1000252号、淄博市房建临淄区字YT07-1000253号、淄博市房建临淄区字YT07-1000254号、淄博市房建临淄区字YT07-1000255号、淄博市房建临淄区字YT07-1000256号、淄博市房建临淄区字YT07-1000350号、淄博市房建临淄区字YT07-1000351号、淄博市房建临淄区字YT07-1000352号、淄博市房建临淄区字YT07-1000051号、淄博市房建临淄区字YT07-1000050号、淄博市房建临淄区字YT07-1000048号、淄博市房建临淄区字YT07-1000049号、淄博市房建临淄区字YT07-1000040号、淄博市房建临淄区字YT07-1000047号、淄博市房建临淄区字YT07-1000046号、淄博市房建临淄区字YT07-1000045号、淄博市房建临淄区字YT07-1000044号、淄博市房建临淄区字YT07-1000043号、淄博市房建临淄区字YT07-1000042号、淄博市房建临淄区字YT07-1000041号、淄博市房建临淄区字YT07-1000039号、淄博市房建临淄区字YT07-1000038号、淄博市房建临淄区字YT07-1000399号、淄博市房建临淄区字YT07-1000398号、淄博市房建临淄区字YT07-1000397号、淄博市房建临淄区字YT07-1000396号、淄博市房建临淄区字YT07-1000395号、淄博市房建临淄区字YT07-1000394号、淄博市房建临淄区字YT07-1000393号、淄博市房建临淄区字YT07-1000392号、淄博市房建临淄区字YT07-1000391号、淄博市房建临淄区字YT07-1000390号、淄博市房建临淄区字YT07-1000389号、淄博市房建临淄区字YT07-1000388号、淄博市房建临淄区字YT07-1000387号、淄博市房建临淄区字YT07-1000386号、淄博市房建临淄区字YT07-1000385号、淄博市房建临淄区字YT07-1000384号、淄博市房建临淄区字YT07-1000383号、淄博市房建临淄区字YT07-1000382号、淄博市房建临淄区字YT07-1000381号、淄博市房建临淄区字YT07-1000380号、淄博市房建临淄区字YT07-1000369号、淄博市房建临淄区字YT07-1000370号、淄博市房建临淄区字YT07-1000371号、淄博市房建临淄区字YT07-1000372号、淄博市房建临淄区字YT07-1000373号、淄博市房建临淄区字YT07-1000374号、淄博市房建临淄区字YT07-1000375号、淄博市房建临淄区字YT07-1000376号、淄博市房建临淄区字YT07-1000377号、淄博市房建临淄区字YT07-1000378号、淄博市房建临淄区字YT07-1000379号、淄博市房建临淄区字YT07-1000368号、淄博市房建临淄区字YT07-1000367号、淄博市房建临淄区字YT07-1000366号、淄博市房建临淄区字YT07-1000365号、淄博市房建临淄区字YT07-1000364号、淄博市房建临淄区字YT07-1000363号、淄博市房建临淄区字YT07-1000362号、淄博市房建临淄区字YT07-1000361号、淄博市房建临淄区字YT07-1000360号、淄博市房建临淄区字YT07-1000359号、淄博市房建临淄区字YT07-1000358号、淄博市房建临淄区字YT07-1000357号、淄博市房建临淄区字YT07-1000356号、淄博市房建临淄区字YT07-1000355号、淄博市房建临淄区字YT07-1000354号、淄博市房建临淄区字YT07-1000353号</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105</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68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000000"/>
                <w:kern w:val="0"/>
                <w:sz w:val="20"/>
                <w:szCs w:val="20"/>
                <w:lang w:val="en-US" w:eastAsia="zh-CN"/>
              </w:rPr>
            </w:pPr>
            <w:r>
              <w:rPr>
                <w:rFonts w:hint="eastAsia" w:ascii="楷体" w:hAnsi="楷体" w:eastAsia="楷体" w:cs="宋体"/>
                <w:color w:val="000000"/>
                <w:kern w:val="0"/>
                <w:sz w:val="20"/>
                <w:szCs w:val="20"/>
                <w:lang w:val="en-US" w:eastAsia="zh-CN"/>
              </w:rPr>
              <w:t>4</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hint="eastAsia" w:ascii="楷体" w:hAnsi="楷体" w:eastAsia="楷体" w:cs="宋体"/>
                <w:kern w:val="0"/>
                <w:sz w:val="20"/>
                <w:szCs w:val="20"/>
              </w:rPr>
            </w:pPr>
            <w:r>
              <w:rPr>
                <w:rFonts w:hint="eastAsia" w:ascii="楷体" w:hAnsi="楷体" w:eastAsia="楷体" w:cs="宋体"/>
                <w:kern w:val="0"/>
                <w:sz w:val="20"/>
                <w:szCs w:val="20"/>
              </w:rPr>
              <w:t>土地他项权证：淄他项（2014）第E00154、淄他项（2014）第E00155、淄他项（2014）第E00156</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000000"/>
                <w:kern w:val="0"/>
                <w:sz w:val="20"/>
                <w:szCs w:val="20"/>
                <w:lang w:val="en-US" w:eastAsia="zh-CN"/>
              </w:rPr>
            </w:pPr>
            <w:r>
              <w:rPr>
                <w:rFonts w:hint="eastAsia" w:ascii="楷体" w:hAnsi="楷体" w:eastAsia="楷体" w:cs="宋体"/>
                <w:color w:val="000000"/>
                <w:kern w:val="0"/>
                <w:sz w:val="20"/>
                <w:szCs w:val="20"/>
                <w:lang w:val="en-US" w:eastAsia="zh-CN"/>
              </w:rPr>
              <w:t>3</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color w:val="000000"/>
                <w:kern w:val="0"/>
                <w:sz w:val="20"/>
                <w:szCs w:val="20"/>
              </w:rPr>
            </w:pP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 w:hAnsi="楷体" w:eastAsia="楷体" w:cs="宋体"/>
                <w:kern w:val="0"/>
                <w:sz w:val="20"/>
                <w:szCs w:val="20"/>
              </w:rPr>
            </w:pPr>
          </w:p>
        </w:tc>
      </w:tr>
      <w:tr>
        <w:tblPrEx>
          <w:tblCellMar>
            <w:top w:w="0" w:type="dxa"/>
            <w:left w:w="108" w:type="dxa"/>
            <w:bottom w:w="0" w:type="dxa"/>
            <w:right w:w="108" w:type="dxa"/>
          </w:tblCellMar>
        </w:tblPrEx>
        <w:trPr>
          <w:trHeight w:val="68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5</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房地产借款合同：016030061-2014（临淄）字0259号、16030061-2014（临淄）字0279号、16030061-2014（临淄）字0279号、016030061-2015（临淄）字0189号</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5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6</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借款展期协议：20170831-8</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46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7</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保证合同：2014（临淄）保字、2014（临淄）保字、2015-3-1、20171228-01</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3</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61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8</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抵押合同：2014年临淄（抵）字100、101号、2014年临淄（抵）字102号、2014年临淄（抵）字102号、2015年临淄（抵）字0081号</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3</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9</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权证移交清单</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2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10</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抵押物清单</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11</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11</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担保书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5</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4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12</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贷款催收资料</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10</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4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13</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律师函</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6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14</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起诉状</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2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15</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追加被告申请书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8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16</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诉前保全申请书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17</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受理案件通知书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18</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查封申请书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4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19</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协助执行通知书、送达回证</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27</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20</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开庭传票</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2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21</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民事裁定书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22</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民事调解书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2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23</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申请执行书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24</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纳入失信被执行人名单申请书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4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25</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执行查封申请书</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2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26</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产权、产籍档案证明</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20</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27</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个人不存在实际房屋买卖的说明、说明</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17</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4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28</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营业执照、身份证复印件、结婚证</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30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29</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呆账批复</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r>
        <w:tblPrEx>
          <w:tblCellMar>
            <w:top w:w="0" w:type="dxa"/>
            <w:left w:w="108" w:type="dxa"/>
            <w:bottom w:w="0" w:type="dxa"/>
            <w:right w:w="108" w:type="dxa"/>
          </w:tblCellMar>
        </w:tblPrEx>
        <w:trPr>
          <w:trHeight w:val="260"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30</w:t>
            </w:r>
          </w:p>
        </w:tc>
        <w:tc>
          <w:tcPr>
            <w:tcW w:w="5940" w:type="dxa"/>
            <w:tcBorders>
              <w:top w:val="nil"/>
              <w:left w:val="nil"/>
              <w:bottom w:val="single" w:color="auto" w:sz="4" w:space="0"/>
              <w:right w:val="single" w:color="auto" w:sz="4" w:space="0"/>
            </w:tcBorders>
            <w:shd w:val="clear" w:color="auto" w:fill="auto"/>
            <w:vAlign w:val="center"/>
          </w:tcPr>
          <w:p>
            <w:pPr>
              <w:widowControl/>
              <w:jc w:val="left"/>
              <w:rPr>
                <w:rFonts w:ascii="楷体" w:hAnsi="楷体" w:eastAsia="楷体" w:cs="宋体"/>
                <w:kern w:val="0"/>
                <w:sz w:val="20"/>
                <w:szCs w:val="20"/>
              </w:rPr>
            </w:pPr>
            <w:r>
              <w:rPr>
                <w:rFonts w:hint="eastAsia" w:ascii="楷体" w:hAnsi="楷体" w:eastAsia="楷体" w:cs="宋体"/>
                <w:kern w:val="0"/>
                <w:sz w:val="20"/>
                <w:szCs w:val="20"/>
              </w:rPr>
              <w:t>押品保管凭证</w:t>
            </w:r>
          </w:p>
        </w:tc>
        <w:tc>
          <w:tcPr>
            <w:tcW w:w="66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183</w:t>
            </w:r>
          </w:p>
        </w:tc>
        <w:tc>
          <w:tcPr>
            <w:tcW w:w="62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color w:val="000000"/>
                <w:kern w:val="0"/>
                <w:sz w:val="20"/>
                <w:szCs w:val="20"/>
              </w:rPr>
            </w:pPr>
            <w:r>
              <w:rPr>
                <w:rFonts w:hint="eastAsia" w:ascii="楷体" w:hAnsi="楷体" w:eastAsia="楷体" w:cs="宋体"/>
                <w:color w:val="000000"/>
                <w:kern w:val="0"/>
                <w:sz w:val="20"/>
                <w:szCs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楷体" w:hAnsi="楷体" w:eastAsia="楷体" w:cs="宋体"/>
                <w:kern w:val="0"/>
                <w:sz w:val="20"/>
                <w:szCs w:val="20"/>
              </w:rPr>
            </w:pPr>
            <w:r>
              <w:rPr>
                <w:rFonts w:hint="eastAsia" w:ascii="楷体" w:hAnsi="楷体" w:eastAsia="楷体" w:cs="宋体"/>
                <w:kern w:val="0"/>
                <w:sz w:val="20"/>
                <w:szCs w:val="20"/>
              </w:rPr>
              <w:t>　</w:t>
            </w:r>
          </w:p>
        </w:tc>
      </w:tr>
    </w:tbl>
    <w:p>
      <w:pPr>
        <w:pStyle w:val="25"/>
        <w:ind w:left="360" w:firstLine="0" w:firstLineChars="0"/>
        <w:rPr>
          <w:rFonts w:ascii="仿宋_GB2312" w:eastAsia="仿宋_GB2312" w:cs="仿宋_GB2312"/>
          <w:b/>
          <w:bCs/>
          <w:kern w:val="44"/>
          <w:sz w:val="24"/>
        </w:rPr>
      </w:pPr>
      <w:r>
        <w:rPr>
          <w:rFonts w:hint="eastAsia" w:ascii="仿宋_GB2312" w:eastAsia="仿宋_GB2312" w:cs="仿宋_GB2312"/>
          <w:b/>
          <w:bCs/>
          <w:kern w:val="44"/>
          <w:sz w:val="24"/>
        </w:rPr>
        <w:t>2、寿光裕丰置业有限公司</w:t>
      </w:r>
    </w:p>
    <w:tbl>
      <w:tblPr>
        <w:tblStyle w:val="10"/>
        <w:tblW w:w="7948" w:type="dxa"/>
        <w:tblInd w:w="98" w:type="dxa"/>
        <w:tblLayout w:type="autofit"/>
        <w:tblCellMar>
          <w:top w:w="0" w:type="dxa"/>
          <w:left w:w="108" w:type="dxa"/>
          <w:bottom w:w="0" w:type="dxa"/>
          <w:right w:w="108" w:type="dxa"/>
        </w:tblCellMar>
      </w:tblPr>
      <w:tblGrid>
        <w:gridCol w:w="459"/>
        <w:gridCol w:w="2245"/>
        <w:gridCol w:w="567"/>
        <w:gridCol w:w="708"/>
        <w:gridCol w:w="993"/>
        <w:gridCol w:w="2976"/>
      </w:tblGrid>
      <w:tr>
        <w:tblPrEx>
          <w:tblCellMar>
            <w:top w:w="0" w:type="dxa"/>
            <w:left w:w="108" w:type="dxa"/>
            <w:bottom w:w="0" w:type="dxa"/>
            <w:right w:w="108" w:type="dxa"/>
          </w:tblCellMar>
        </w:tblPrEx>
        <w:trPr>
          <w:trHeight w:val="570" w:hRule="atLeast"/>
        </w:trPr>
        <w:tc>
          <w:tcPr>
            <w:tcW w:w="4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2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资料名称</w:t>
            </w:r>
          </w:p>
        </w:tc>
        <w:tc>
          <w:tcPr>
            <w:tcW w:w="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份数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原件</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复印件</w:t>
            </w:r>
          </w:p>
        </w:tc>
        <w:tc>
          <w:tcPr>
            <w:tcW w:w="29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57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委托贷款委托协议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编号2013081301</w:t>
            </w:r>
          </w:p>
        </w:tc>
      </w:tr>
      <w:tr>
        <w:tblPrEx>
          <w:tblCellMar>
            <w:top w:w="0" w:type="dxa"/>
            <w:left w:w="108" w:type="dxa"/>
            <w:bottom w:w="0" w:type="dxa"/>
            <w:right w:w="108" w:type="dxa"/>
          </w:tblCellMar>
        </w:tblPrEx>
        <w:trPr>
          <w:trHeight w:val="57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投资合作协议</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编号CFT-B042</w:t>
            </w:r>
          </w:p>
        </w:tc>
      </w:tr>
      <w:tr>
        <w:tblPrEx>
          <w:tblCellMar>
            <w:top w:w="0" w:type="dxa"/>
            <w:left w:w="108" w:type="dxa"/>
            <w:bottom w:w="0" w:type="dxa"/>
            <w:right w:w="108" w:type="dxa"/>
          </w:tblCellMar>
        </w:tblPrEx>
        <w:trPr>
          <w:trHeight w:val="48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委托贷款合同</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编号：12012013281095</w:t>
            </w:r>
          </w:p>
        </w:tc>
      </w:tr>
      <w:tr>
        <w:tblPrEx>
          <w:tblCellMar>
            <w:top w:w="0" w:type="dxa"/>
            <w:left w:w="108" w:type="dxa"/>
            <w:bottom w:w="0" w:type="dxa"/>
            <w:right w:w="108" w:type="dxa"/>
          </w:tblCellMar>
        </w:tblPrEx>
        <w:trPr>
          <w:trHeight w:val="80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委托贷款合同之补充合同</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编号12012013281095-1</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保证合同-青岛欣盛源通公司</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编号YB1201201328109501</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保证合同-王庚业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编号YB1201201328109502</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保证合同-刘红霞</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编号YB1201201328109503</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8</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保证合同-牟哲盈</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编号YB1201201328109504</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保证合同-郑赟</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编号YB1201201328109505</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抵押合同</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编号YD1201201328109501</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权利质押合同-王庚业</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编号YZ1201201328109501</w:t>
            </w:r>
          </w:p>
        </w:tc>
      </w:tr>
      <w:tr>
        <w:tblPrEx>
          <w:tblCellMar>
            <w:top w:w="0" w:type="dxa"/>
            <w:left w:w="108" w:type="dxa"/>
            <w:bottom w:w="0" w:type="dxa"/>
            <w:right w:w="108" w:type="dxa"/>
          </w:tblCellMar>
        </w:tblPrEx>
        <w:trPr>
          <w:trHeight w:val="72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权利质押合同-牟哲盈</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编号YZ1201201328109502</w:t>
            </w:r>
          </w:p>
        </w:tc>
      </w:tr>
      <w:tr>
        <w:tblPrEx>
          <w:tblCellMar>
            <w:top w:w="0" w:type="dxa"/>
            <w:left w:w="108" w:type="dxa"/>
            <w:bottom w:w="0" w:type="dxa"/>
            <w:right w:w="108" w:type="dxa"/>
          </w:tblCellMar>
        </w:tblPrEx>
        <w:trPr>
          <w:trHeight w:val="96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股权出质设立登记通知书</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编号寿工商股质登记企设字[2013]第0029号、0030号</w:t>
            </w:r>
          </w:p>
        </w:tc>
      </w:tr>
      <w:tr>
        <w:tblPrEx>
          <w:tblCellMar>
            <w:top w:w="0" w:type="dxa"/>
            <w:left w:w="108" w:type="dxa"/>
            <w:bottom w:w="0" w:type="dxa"/>
            <w:right w:w="108" w:type="dxa"/>
          </w:tblCellMar>
        </w:tblPrEx>
        <w:trPr>
          <w:trHeight w:val="2207"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公证书</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(2013)京方圆内经证字第16221号、(2013)京方圆内经证字第16225号公证书、(2013)京方圆内经证字第16226号、16227号、(2013)京方圆内经证字第16228、16229号</w:t>
            </w:r>
          </w:p>
        </w:tc>
      </w:tr>
      <w:tr>
        <w:tblPrEx>
          <w:tblCellMar>
            <w:top w:w="0" w:type="dxa"/>
            <w:left w:w="108" w:type="dxa"/>
            <w:bottom w:w="0" w:type="dxa"/>
            <w:right w:w="108" w:type="dxa"/>
          </w:tblCellMar>
        </w:tblPrEx>
        <w:trPr>
          <w:trHeight w:val="48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执行证书</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是</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(2014)京方圆内经证字第0185号</w:t>
            </w:r>
          </w:p>
        </w:tc>
      </w:tr>
      <w:tr>
        <w:tblPrEx>
          <w:tblCellMar>
            <w:top w:w="0" w:type="dxa"/>
            <w:left w:w="108" w:type="dxa"/>
            <w:bottom w:w="0" w:type="dxa"/>
            <w:right w:w="108" w:type="dxa"/>
          </w:tblCellMar>
        </w:tblPrEx>
        <w:trPr>
          <w:trHeight w:val="480" w:hRule="atLeast"/>
        </w:trPr>
        <w:tc>
          <w:tcPr>
            <w:tcW w:w="4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c>
          <w:tcPr>
            <w:tcW w:w="22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民事裁定书-破产</w:t>
            </w:r>
          </w:p>
        </w:tc>
        <w:tc>
          <w:tcPr>
            <w:tcW w:w="5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否</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29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（2016）鲁0783民破2-1号</w:t>
            </w:r>
          </w:p>
        </w:tc>
      </w:tr>
    </w:tbl>
    <w:p>
      <w:pPr>
        <w:pStyle w:val="25"/>
        <w:ind w:left="360" w:firstLine="0" w:firstLineChars="0"/>
        <w:rPr>
          <w:rFonts w:ascii="仿宋_GB2312" w:eastAsia="仿宋_GB2312" w:cs="仿宋_GB2312"/>
          <w:bCs/>
          <w:kern w:val="44"/>
          <w:sz w:val="24"/>
        </w:rPr>
      </w:pPr>
    </w:p>
    <w:p>
      <w:pPr>
        <w:rPr>
          <w:rFonts w:ascii="仿宋_GB2312" w:eastAsia="仿宋_GB2312"/>
          <w:color w:val="000000"/>
        </w:rPr>
      </w:pPr>
      <w:r>
        <w:rPr>
          <w:rFonts w:hint="eastAsia" w:ascii="仿宋_GB2312" w:eastAsia="仿宋_GB2312"/>
          <w:color w:val="000000"/>
        </w:rPr>
        <w:t>注：1、同一名称项下存在多份资产文件且部分为复印件的，应在备注中单独说明复印件的名称和数量；</w:t>
      </w:r>
    </w:p>
    <w:p>
      <w:pPr>
        <w:spacing w:line="360" w:lineRule="auto"/>
        <w:ind w:firstLine="420"/>
        <w:rPr>
          <w:rFonts w:eastAsia="仿宋_GB2312"/>
        </w:rPr>
      </w:pPr>
      <w:r>
        <w:rPr>
          <w:rFonts w:hint="eastAsia" w:ascii="仿宋_GB2312" w:eastAsia="仿宋_GB2312"/>
          <w:color w:val="000000"/>
        </w:rPr>
        <w:t>2、甲方于基准日实际持有的超出本清单范围的材料（如有），可在交割日一并交付给乙方，但该等交付不构成甲方在本协议项下的义务。</w:t>
      </w:r>
    </w:p>
    <w:p>
      <w:pPr>
        <w:spacing w:line="360" w:lineRule="auto"/>
        <w:ind w:firstLine="420"/>
        <w:rPr>
          <w:rFonts w:ascii="楷体" w:hAnsi="楷体" w:eastAsia="楷体"/>
          <w:b/>
          <w:szCs w:val="21"/>
        </w:rPr>
      </w:pPr>
      <w:r>
        <w:rPr>
          <w:rFonts w:hint="eastAsia" w:ascii="楷体" w:hAnsi="楷体" w:eastAsia="楷体"/>
          <w:b/>
          <w:szCs w:val="21"/>
        </w:rPr>
        <w:t>乙方已仔细阅读了本清单上所载的所有文件，已完全了解并知悉本清单上所有文件的内容，并已知悉标的债权及担保情况及瑕疵，已完全了解并知悉标的债权可能不能清偿或不能完全清偿的瑕疵，乙方自行承担相应风险，并自愿放弃因债权瑕疵或抵押物瑕疵向甲方提起诉讼或要求甲方回购该等债权或要求甲方承担赔偿责任的权利，特此确认。</w:t>
      </w:r>
    </w:p>
    <w:p>
      <w:pPr>
        <w:spacing w:line="360" w:lineRule="auto"/>
        <w:outlineLvl w:val="0"/>
        <w:rPr>
          <w:rFonts w:ascii="楷体" w:hAnsi="楷体" w:eastAsia="楷体"/>
          <w:b/>
          <w:szCs w:val="21"/>
        </w:rPr>
      </w:pPr>
      <w:r>
        <w:rPr>
          <w:rFonts w:ascii="楷体" w:hAnsi="楷体" w:eastAsia="楷体"/>
          <w:b/>
          <w:szCs w:val="21"/>
        </w:rPr>
        <w:t>甲方：中国长城资产管理</w:t>
      </w:r>
      <w:r>
        <w:rPr>
          <w:rFonts w:hint="eastAsia" w:ascii="楷体" w:hAnsi="楷体" w:eastAsia="楷体"/>
          <w:b/>
          <w:szCs w:val="21"/>
        </w:rPr>
        <w:t>股份有限</w:t>
      </w:r>
      <w:r>
        <w:rPr>
          <w:rFonts w:ascii="楷体" w:hAnsi="楷体" w:eastAsia="楷体"/>
          <w:b/>
          <w:szCs w:val="21"/>
        </w:rPr>
        <w:t>公司</w:t>
      </w:r>
      <w:r>
        <w:rPr>
          <w:rFonts w:hint="eastAsia" w:ascii="楷体" w:hAnsi="楷体" w:eastAsia="楷体"/>
          <w:b/>
          <w:szCs w:val="21"/>
          <w:u w:val="single"/>
        </w:rPr>
        <w:t>山东省分公司</w:t>
      </w:r>
      <w:r>
        <w:rPr>
          <w:rFonts w:ascii="楷体" w:hAnsi="楷体" w:eastAsia="楷体"/>
          <w:b/>
          <w:szCs w:val="21"/>
        </w:rPr>
        <w:t>（盖章）</w:t>
      </w:r>
    </w:p>
    <w:p>
      <w:pPr>
        <w:pStyle w:val="5"/>
        <w:tabs>
          <w:tab w:val="left" w:pos="980"/>
        </w:tabs>
        <w:spacing w:after="0" w:line="360" w:lineRule="auto"/>
        <w:ind w:left="0" w:leftChars="0"/>
        <w:rPr>
          <w:rFonts w:ascii="楷体" w:hAnsi="楷体" w:eastAsia="楷体"/>
          <w:b/>
          <w:szCs w:val="21"/>
        </w:rPr>
      </w:pPr>
    </w:p>
    <w:p>
      <w:pPr>
        <w:pStyle w:val="5"/>
        <w:tabs>
          <w:tab w:val="left" w:pos="980"/>
        </w:tabs>
        <w:spacing w:after="0" w:line="360" w:lineRule="auto"/>
        <w:ind w:left="0" w:leftChars="0"/>
        <w:rPr>
          <w:rFonts w:ascii="楷体" w:hAnsi="楷体" w:eastAsia="楷体"/>
          <w:b/>
          <w:szCs w:val="21"/>
        </w:rPr>
      </w:pPr>
      <w:r>
        <w:rPr>
          <w:rFonts w:hint="eastAsia" w:ascii="楷体" w:hAnsi="楷体" w:eastAsia="楷体"/>
          <w:b/>
          <w:szCs w:val="21"/>
        </w:rPr>
        <w:t>负责</w:t>
      </w:r>
      <w:r>
        <w:rPr>
          <w:rFonts w:ascii="楷体" w:hAnsi="楷体" w:eastAsia="楷体"/>
          <w:b/>
          <w:szCs w:val="21"/>
        </w:rPr>
        <w:t>人或授权代表（签字）：</w:t>
      </w:r>
      <w:r>
        <w:rPr>
          <w:rFonts w:ascii="楷体" w:hAnsi="楷体" w:eastAsia="楷体"/>
          <w:b/>
          <w:szCs w:val="21"/>
          <w:u w:val="single"/>
        </w:rPr>
        <w:t xml:space="preserve">                        </w:t>
      </w:r>
    </w:p>
    <w:p>
      <w:pPr>
        <w:pStyle w:val="5"/>
        <w:tabs>
          <w:tab w:val="left" w:pos="980"/>
        </w:tabs>
        <w:spacing w:after="0" w:line="360" w:lineRule="auto"/>
        <w:rPr>
          <w:rFonts w:ascii="楷体" w:hAnsi="楷体" w:eastAsia="楷体"/>
          <w:b/>
          <w:szCs w:val="21"/>
        </w:rPr>
      </w:pPr>
    </w:p>
    <w:p>
      <w:pPr>
        <w:pStyle w:val="5"/>
        <w:tabs>
          <w:tab w:val="left" w:pos="980"/>
        </w:tabs>
        <w:spacing w:after="0" w:line="360" w:lineRule="auto"/>
        <w:ind w:left="0" w:leftChars="0"/>
        <w:rPr>
          <w:rFonts w:ascii="楷体" w:hAnsi="楷体" w:eastAsia="楷体"/>
          <w:b/>
          <w:szCs w:val="21"/>
        </w:rPr>
      </w:pPr>
      <w:r>
        <w:rPr>
          <w:rFonts w:ascii="楷体" w:hAnsi="楷体" w:eastAsia="楷体"/>
          <w:b/>
          <w:szCs w:val="21"/>
        </w:rPr>
        <w:t>乙方：</w:t>
      </w:r>
      <w:r>
        <w:rPr>
          <w:rFonts w:hint="eastAsia" w:ascii="楷体" w:hAnsi="楷体" w:eastAsia="楷体"/>
          <w:b/>
          <w:szCs w:val="21"/>
        </w:rPr>
        <w:t>光彩银星拍卖有限公司</w:t>
      </w:r>
      <w:r>
        <w:rPr>
          <w:rFonts w:ascii="楷体" w:hAnsi="楷体" w:eastAsia="楷体"/>
          <w:b/>
          <w:szCs w:val="21"/>
        </w:rPr>
        <w:t>（盖章）</w:t>
      </w:r>
    </w:p>
    <w:p>
      <w:pPr>
        <w:spacing w:line="360" w:lineRule="auto"/>
        <w:rPr>
          <w:rFonts w:ascii="楷体" w:hAnsi="楷体" w:eastAsia="楷体"/>
          <w:b/>
          <w:szCs w:val="21"/>
        </w:rPr>
      </w:pPr>
    </w:p>
    <w:p>
      <w:pPr>
        <w:spacing w:line="360" w:lineRule="auto"/>
        <w:rPr>
          <w:rFonts w:ascii="楷体" w:hAnsi="楷体" w:eastAsia="楷体"/>
          <w:szCs w:val="21"/>
        </w:rPr>
      </w:pPr>
      <w:r>
        <w:rPr>
          <w:rFonts w:ascii="楷体" w:hAnsi="楷体" w:eastAsia="楷体"/>
          <w:b/>
          <w:szCs w:val="21"/>
        </w:rPr>
        <w:t>法定代表人或授权代表（签字）：</w:t>
      </w:r>
      <w:r>
        <w:rPr>
          <w:rFonts w:ascii="楷体" w:hAnsi="楷体" w:eastAsia="楷体"/>
          <w:b/>
          <w:szCs w:val="21"/>
          <w:u w:val="single"/>
        </w:rPr>
        <w:t xml:space="preserve">                        </w:t>
      </w:r>
    </w:p>
    <w:p>
      <w:pPr>
        <w:spacing w:line="360" w:lineRule="auto"/>
        <w:jc w:val="center"/>
        <w:rPr>
          <w:rFonts w:ascii="楷体" w:hAnsi="楷体" w:eastAsia="楷体"/>
          <w:b/>
          <w:szCs w:val="21"/>
        </w:rPr>
      </w:pPr>
    </w:p>
    <w:p>
      <w:pPr>
        <w:spacing w:line="360" w:lineRule="auto"/>
        <w:jc w:val="center"/>
        <w:rPr>
          <w:rFonts w:ascii="楷体" w:hAnsi="楷体" w:eastAsia="楷体"/>
          <w:b/>
          <w:szCs w:val="21"/>
        </w:rPr>
      </w:pPr>
      <w:r>
        <w:rPr>
          <w:rFonts w:ascii="楷体" w:hAnsi="楷体" w:eastAsia="楷体"/>
          <w:b/>
          <w:szCs w:val="21"/>
        </w:rPr>
        <w:t xml:space="preserve">                            年    月    日</w:t>
      </w:r>
    </w:p>
    <w:p>
      <w:pPr>
        <w:spacing w:line="360" w:lineRule="auto"/>
        <w:jc w:val="center"/>
        <w:rPr>
          <w:rFonts w:hint="eastAsia" w:ascii="楷体" w:hAnsi="楷体" w:eastAsia="楷体"/>
          <w:b/>
          <w:szCs w:val="21"/>
        </w:rPr>
      </w:pPr>
    </w:p>
    <w:p>
      <w:pPr>
        <w:spacing w:line="360" w:lineRule="auto"/>
        <w:jc w:val="center"/>
        <w:rPr>
          <w:rFonts w:ascii="楷体" w:hAnsi="楷体" w:eastAsia="楷体"/>
          <w:b/>
          <w:sz w:val="24"/>
        </w:rPr>
      </w:pPr>
      <w:r>
        <w:rPr>
          <w:rFonts w:ascii="楷体" w:hAnsi="楷体" w:eastAsia="楷体"/>
          <w:b/>
          <w:sz w:val="24"/>
        </w:rPr>
        <w:t>附件三：</w:t>
      </w:r>
      <w:r>
        <w:rPr>
          <w:rFonts w:hint="eastAsia" w:ascii="楷体" w:hAnsi="楷体" w:eastAsia="楷体"/>
          <w:b/>
          <w:sz w:val="24"/>
        </w:rPr>
        <w:t>拍卖债权的瑕疵披露</w:t>
      </w:r>
    </w:p>
    <w:p>
      <w:pPr>
        <w:pStyle w:val="5"/>
        <w:tabs>
          <w:tab w:val="left" w:pos="980"/>
        </w:tabs>
        <w:spacing w:after="0" w:line="360" w:lineRule="auto"/>
        <w:ind w:left="0" w:leftChars="0"/>
        <w:rPr>
          <w:rFonts w:ascii="楷体" w:hAnsi="楷体" w:eastAsia="楷体"/>
          <w:b/>
          <w:color w:val="0000FF"/>
          <w:sz w:val="24"/>
          <w:u w:val="none"/>
        </w:rPr>
      </w:pPr>
    </w:p>
    <w:p>
      <w:pPr>
        <w:snapToGrid w:val="0"/>
        <w:spacing w:line="360" w:lineRule="auto"/>
        <w:ind w:right="-87"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委托人已充分告知，其委托拍卖人拍卖的标的债权，存在或可能存在下列瑕疵或风险，且因委托人并非贷款债权的原始权利人，委托人无法对其承继的、由任何第三方制作的贷款债权证明文件的真实性、有效性、准确性和完整性提供保证，以至于买受人受让作为拍卖标的的贷款债权的预期利益可能无法实现。该等瑕疵或风险包括但不限于下列一项或多项：</w:t>
      </w:r>
    </w:p>
    <w:p>
      <w:pPr>
        <w:snapToGrid w:val="0"/>
        <w:spacing w:line="360" w:lineRule="auto"/>
        <w:ind w:right="-87"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2.1</w:t>
      </w:r>
      <w:r>
        <w:rPr>
          <w:rFonts w:hint="eastAsia" w:asciiTheme="minorEastAsia" w:hAnsiTheme="minorEastAsia" w:eastAsiaTheme="minorEastAsia"/>
          <w:b/>
          <w:color w:val="auto"/>
          <w:sz w:val="24"/>
        </w:rPr>
        <w:t>标的</w:t>
      </w:r>
      <w:r>
        <w:rPr>
          <w:rFonts w:asciiTheme="minorEastAsia" w:hAnsiTheme="minorEastAsia" w:eastAsiaTheme="minorEastAsia"/>
          <w:b/>
          <w:color w:val="auto"/>
          <w:sz w:val="24"/>
        </w:rPr>
        <w:t>债权系不良资产，存在着部分或全部不能回收的风险特性以及清收的困难性</w:t>
      </w:r>
      <w:r>
        <w:rPr>
          <w:rFonts w:hint="eastAsia" w:asciiTheme="minorEastAsia" w:hAnsiTheme="minorEastAsia" w:eastAsiaTheme="minorEastAsia"/>
          <w:b/>
          <w:color w:val="auto"/>
          <w:sz w:val="24"/>
          <w:lang w:eastAsia="zh-CN"/>
        </w:rPr>
        <w:t>。</w:t>
      </w:r>
    </w:p>
    <w:p>
      <w:pPr>
        <w:snapToGrid w:val="0"/>
        <w:spacing w:line="360" w:lineRule="auto"/>
        <w:ind w:right="-87"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2.2</w:t>
      </w:r>
      <w:r>
        <w:rPr>
          <w:rFonts w:hint="eastAsia" w:asciiTheme="minorEastAsia" w:hAnsiTheme="minorEastAsia" w:eastAsiaTheme="minorEastAsia"/>
          <w:b/>
          <w:color w:val="auto"/>
          <w:sz w:val="24"/>
        </w:rPr>
        <w:t>由于可能存在的计算误差或其他原因，乙方实际接收的贷款债权金额与附件一《资产明细表》载明的金额可能不完全一致；基于有关司法政策文件，买受人受让贷款债权后向债务人或担保人所能主张并获得司法支持的利息可能与附件一《资产明细表》中所列明的利息不完全一致；标的资产事实上可能已经全部或部分灭失。</w:t>
      </w:r>
    </w:p>
    <w:p>
      <w:pPr>
        <w:snapToGrid w:val="0"/>
        <w:spacing w:line="360" w:lineRule="auto"/>
        <w:ind w:right="-87"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2.3 </w:t>
      </w:r>
      <w:r>
        <w:rPr>
          <w:rFonts w:hint="eastAsia" w:asciiTheme="minorEastAsia" w:hAnsiTheme="minorEastAsia" w:eastAsiaTheme="minorEastAsia"/>
          <w:b/>
          <w:color w:val="auto"/>
          <w:sz w:val="24"/>
        </w:rPr>
        <w:t>标的资产项下债务人、担保人或其他责任主体可能存在破产、被吊销、被撤销、注销、解散、关闭、歇业、停业、下落不明以及其他主体存续性瑕疵的情形</w:t>
      </w:r>
      <w:r>
        <w:rPr>
          <w:rFonts w:hint="eastAsia" w:asciiTheme="minorEastAsia" w:hAnsiTheme="minorEastAsia" w:eastAsiaTheme="minorEastAsia"/>
          <w:b/>
          <w:color w:val="auto"/>
          <w:sz w:val="24"/>
          <w:lang w:eastAsia="zh-CN"/>
        </w:rPr>
        <w:t>。</w:t>
      </w:r>
    </w:p>
    <w:p>
      <w:pPr>
        <w:snapToGrid w:val="0"/>
        <w:spacing w:line="360" w:lineRule="auto"/>
        <w:ind w:right="-86" w:rightChars="-41"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2.4 </w:t>
      </w:r>
      <w:r>
        <w:rPr>
          <w:rFonts w:hint="eastAsia" w:asciiTheme="minorEastAsia" w:hAnsiTheme="minorEastAsia" w:eastAsiaTheme="minorEastAsia"/>
          <w:b/>
          <w:color w:val="auto"/>
          <w:sz w:val="24"/>
        </w:rPr>
        <w:t>标的资产可能已超过诉讼时效、法定或约定时效或丧失其他相关的期间利益</w:t>
      </w:r>
      <w:r>
        <w:rPr>
          <w:rFonts w:hint="eastAsia" w:asciiTheme="minorEastAsia" w:hAnsiTheme="minorEastAsia" w:eastAsiaTheme="minorEastAsia"/>
          <w:b/>
          <w:color w:val="auto"/>
          <w:sz w:val="24"/>
          <w:lang w:eastAsia="zh-CN"/>
        </w:rPr>
        <w:t>。</w:t>
      </w:r>
    </w:p>
    <w:p>
      <w:pPr>
        <w:snapToGrid w:val="0"/>
        <w:spacing w:line="360" w:lineRule="auto"/>
        <w:ind w:left="0" w:leftChars="0" w:right="-86" w:rightChars="-41"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2.5 </w:t>
      </w:r>
      <w:r>
        <w:rPr>
          <w:rFonts w:hint="eastAsia" w:asciiTheme="minorEastAsia" w:hAnsiTheme="minorEastAsia" w:eastAsiaTheme="minorEastAsia"/>
          <w:b/>
          <w:color w:val="auto"/>
          <w:sz w:val="24"/>
        </w:rPr>
        <w:t>标的资产项下担保权利可能未生效、无效、消灭或已过诉讼时效等情形</w:t>
      </w:r>
      <w:r>
        <w:rPr>
          <w:rFonts w:hint="eastAsia" w:asciiTheme="minorEastAsia" w:hAnsiTheme="minorEastAsia" w:eastAsiaTheme="minorEastAsia"/>
          <w:b/>
          <w:color w:val="auto"/>
          <w:sz w:val="24"/>
          <w:lang w:eastAsia="zh-CN"/>
        </w:rPr>
        <w:t>。</w:t>
      </w:r>
    </w:p>
    <w:p>
      <w:pPr>
        <w:snapToGrid w:val="0"/>
        <w:spacing w:line="360" w:lineRule="auto"/>
        <w:ind w:left="0" w:leftChars="0" w:right="-86" w:rightChars="-41"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 xml:space="preserve">2.6 </w:t>
      </w:r>
      <w:r>
        <w:rPr>
          <w:rFonts w:hint="eastAsia" w:asciiTheme="minorEastAsia" w:hAnsiTheme="minorEastAsia" w:eastAsiaTheme="minorEastAsia"/>
          <w:b/>
          <w:color w:val="auto"/>
          <w:sz w:val="24"/>
        </w:rPr>
        <w:t>担保物、抵债资产（含协议抵债且未办理过户）可能发生灭失、毁损或可能存在欠缴税费、不能办理权属变更手续、不能实际占有或其他减损担保物、抵债资产价值的相关情形</w:t>
      </w:r>
      <w:r>
        <w:rPr>
          <w:rFonts w:hint="eastAsia" w:asciiTheme="minorEastAsia" w:hAnsiTheme="minorEastAsia" w:eastAsiaTheme="minorEastAsia"/>
          <w:b/>
          <w:color w:val="auto"/>
          <w:sz w:val="24"/>
          <w:lang w:eastAsia="zh-CN"/>
        </w:rPr>
        <w:t>。</w:t>
      </w:r>
      <w:r>
        <w:rPr>
          <w:rFonts w:asciiTheme="minorEastAsia" w:hAnsiTheme="minorEastAsia" w:eastAsiaTheme="minorEastAsia"/>
          <w:b/>
          <w:color w:val="auto"/>
          <w:sz w:val="24"/>
        </w:rPr>
        <w:t xml:space="preserve"> </w:t>
      </w:r>
    </w:p>
    <w:p>
      <w:pPr>
        <w:snapToGrid w:val="0"/>
        <w:spacing w:line="360" w:lineRule="auto"/>
        <w:ind w:right="-86" w:rightChars="-41"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2.7</w:t>
      </w:r>
      <w:r>
        <w:rPr>
          <w:rFonts w:hint="eastAsia" w:asciiTheme="minorEastAsia" w:hAnsiTheme="minorEastAsia" w:eastAsiaTheme="minorEastAsia"/>
          <w:b/>
          <w:color w:val="auto"/>
          <w:sz w:val="24"/>
        </w:rPr>
        <w:t>涉诉标的资产可能存在全部或部分败诉、不能变更诉讼（含执行）主体、相关诉讼、执行费用未付等情形，涉诉标的资产可能在交割前已诉讼终结、执行终结或破产终结。</w:t>
      </w:r>
    </w:p>
    <w:p>
      <w:pPr>
        <w:tabs>
          <w:tab w:val="left" w:pos="992"/>
        </w:tabs>
        <w:snapToGrid w:val="0"/>
        <w:spacing w:line="360" w:lineRule="auto"/>
        <w:ind w:right="-87" w:firstLine="482" w:firstLineChars="200"/>
        <w:rPr>
          <w:rFonts w:asciiTheme="minorEastAsia" w:hAnsiTheme="minorEastAsia" w:eastAsiaTheme="minorEastAsia"/>
          <w:b/>
          <w:color w:val="auto"/>
          <w:sz w:val="24"/>
        </w:rPr>
      </w:pPr>
      <w:r>
        <w:rPr>
          <w:rFonts w:asciiTheme="minorEastAsia" w:hAnsiTheme="minorEastAsia" w:eastAsiaTheme="minorEastAsia"/>
          <w:b/>
          <w:color w:val="auto"/>
          <w:sz w:val="24"/>
        </w:rPr>
        <w:t>2.8</w:t>
      </w:r>
      <w:r>
        <w:rPr>
          <w:rFonts w:hint="eastAsia" w:asciiTheme="minorEastAsia" w:hAnsiTheme="minorEastAsia" w:eastAsiaTheme="minorEastAsia"/>
          <w:b/>
          <w:color w:val="auto"/>
          <w:sz w:val="24"/>
        </w:rPr>
        <w:t>乙方受让标的资产后，可能无法享有甲方所享有的国家法律政策规定的各项优惠条件和特殊保护，包括但不限于对该标的资产在交割日后的利息或罚息请求权可能无法继续享有。</w:t>
      </w:r>
    </w:p>
    <w:p>
      <w:pPr>
        <w:snapToGrid w:val="0"/>
        <w:spacing w:line="360" w:lineRule="auto"/>
        <w:ind w:firstLine="472" w:firstLineChars="196"/>
        <w:rPr>
          <w:rFonts w:asciiTheme="minorEastAsia" w:hAnsiTheme="minorEastAsia" w:eastAsiaTheme="minorEastAsia"/>
          <w:b/>
          <w:color w:val="auto"/>
          <w:sz w:val="24"/>
        </w:rPr>
      </w:pPr>
      <w:r>
        <w:rPr>
          <w:rFonts w:asciiTheme="minorEastAsia" w:hAnsiTheme="minorEastAsia" w:eastAsiaTheme="minorEastAsia"/>
          <w:b/>
          <w:color w:val="auto"/>
          <w:sz w:val="24"/>
        </w:rPr>
        <w:t>2.9</w:t>
      </w:r>
      <w:r>
        <w:rPr>
          <w:rFonts w:hint="eastAsia" w:asciiTheme="minorEastAsia" w:hAnsiTheme="minorEastAsia" w:eastAsiaTheme="minorEastAsia"/>
          <w:b/>
          <w:color w:val="auto"/>
          <w:sz w:val="24"/>
        </w:rPr>
        <w:t>甲方无法对其承继的、由任何第三方制作的资产证明文件的真实性、有效性、准确性和完整性提供保证。甲方移交的标的资产证明文件可能存在缺失（不限于原件）、内容冲突等相关情形。</w:t>
      </w:r>
    </w:p>
    <w:p>
      <w:pPr>
        <w:snapToGrid w:val="0"/>
        <w:spacing w:line="360" w:lineRule="auto"/>
        <w:ind w:firstLine="472" w:firstLineChars="196"/>
        <w:rPr>
          <w:rFonts w:asciiTheme="minorEastAsia" w:hAnsiTheme="minorEastAsia" w:eastAsiaTheme="minorEastAsia"/>
          <w:b/>
          <w:color w:val="auto"/>
          <w:sz w:val="24"/>
        </w:rPr>
      </w:pPr>
      <w:r>
        <w:rPr>
          <w:rFonts w:asciiTheme="minorEastAsia" w:hAnsiTheme="minorEastAsia" w:eastAsiaTheme="minorEastAsia"/>
          <w:b/>
          <w:color w:val="auto"/>
          <w:sz w:val="24"/>
        </w:rPr>
        <w:t>2.10</w:t>
      </w:r>
      <w:r>
        <w:rPr>
          <w:rFonts w:hint="eastAsia" w:asciiTheme="minorEastAsia" w:hAnsiTheme="minorEastAsia" w:eastAsiaTheme="minorEastAsia"/>
          <w:b/>
          <w:color w:val="auto"/>
          <w:sz w:val="24"/>
        </w:rPr>
        <w:t>尽管甲方已对拟转让债权瑕疵作出上述披露，但该债权仍然存在包括但不限于如下瑕疵，乙方受让贷款债权前，已充分了解甲方告知的下列事实：</w:t>
      </w:r>
    </w:p>
    <w:p>
      <w:pPr>
        <w:snapToGrid w:val="0"/>
        <w:spacing w:line="360" w:lineRule="auto"/>
        <w:ind w:firstLine="472" w:firstLineChars="196"/>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（1）该2户债权主从债务主体均涉诉较多，财产存在被抵押给其他债权人或多轮查封的情形且债权存在执行终结的可能性。</w:t>
      </w:r>
    </w:p>
    <w:p>
      <w:pPr>
        <w:snapToGrid w:val="0"/>
        <w:spacing w:line="360" w:lineRule="auto"/>
        <w:ind w:firstLine="472" w:firstLineChars="196"/>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2）淄博市临淄大顺置业有限公司债权项下大部分抵押物在甲方收购前已存在被债务企业私下销售、网签、抵债、对外租赁且无法确定租期及租金、其他债权人查封等影响行使抵押权或抵押权无法主张的情形；现存抵押物大顺胜利花园A区商用房产41套（面积3,209.7平方米）中可能存在抵押物已被私下出售或抵债、虚假网签、已被实际占用等影响债权实现情形。</w:t>
      </w:r>
    </w:p>
    <w:p>
      <w:pPr>
        <w:snapToGrid w:val="0"/>
        <w:spacing w:line="360" w:lineRule="auto"/>
        <w:ind w:firstLine="472" w:firstLineChars="196"/>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3）淄博市临淄大顺置业有限公司债权系通过诉讼阶段和解方式结案并申请执行，调解书约定提供63套无瑕疵房产作为新的抵押物，因未办理抵押登记，抵押权未设立。另，该债权目前甲方尚未变更执行主体，在执行过程中申请查封的财产存在轮候查封及查封无效等情形。</w:t>
      </w:r>
    </w:p>
    <w:p>
      <w:pPr>
        <w:snapToGrid w:val="0"/>
        <w:spacing w:line="360" w:lineRule="auto"/>
        <w:ind w:firstLine="472" w:firstLineChars="196"/>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4）寿光裕丰置业有限公司债权借款人已进入破产清算程序，目前受理法院尚未对甲方已申报的债权审核认定、尚未形成分配方案，因此债权可能存在以下情形：债权项下抵押物已被受理法院司法拍卖并解押；抵押物已被出售；抵押物已被购买人实际占有等。乙方受让债权后在破产过程中可能无法行使抵押物优先受偿权，部分或全部债权可能无法得到破产分配受偿。且已申报的破产债权中尚存在优先级更高的购房人优先权、建设工程优先权等。寿光裕丰置业有限公司两个自然人股东提供的股权质押，因企业已进入破产清算程序，实际无法受偿。</w:t>
      </w:r>
    </w:p>
    <w:p>
      <w:pPr>
        <w:snapToGrid w:val="0"/>
        <w:spacing w:line="360" w:lineRule="auto"/>
        <w:ind w:firstLine="472" w:firstLineChars="196"/>
        <w:rPr>
          <w:rFonts w:hint="eastAsia" w:asciiTheme="minorEastAsia" w:hAnsiTheme="minorEastAsia" w:eastAsiaTheme="minorEastAsia"/>
          <w:b/>
          <w:color w:val="auto"/>
          <w:sz w:val="24"/>
        </w:rPr>
      </w:pPr>
      <w:r>
        <w:rPr>
          <w:rFonts w:hint="eastAsia" w:asciiTheme="minorEastAsia" w:hAnsiTheme="minorEastAsia" w:eastAsiaTheme="minorEastAsia"/>
          <w:b/>
          <w:color w:val="auto"/>
          <w:sz w:val="24"/>
        </w:rPr>
        <w:t>（5）寿光裕丰置业有限公司债权项下借款人、担保人在相关合同或协议上所签署的名字可能非本人签字、提供的身份信息有误等情形，该等情形可能导致乙方受让债权后无法向相关债务人包括担保人主张权利</w:t>
      </w:r>
      <w:r>
        <w:rPr>
          <w:rFonts w:hint="eastAsia" w:asciiTheme="minorEastAsia" w:hAnsiTheme="minorEastAsia" w:eastAsiaTheme="minorEastAsia"/>
          <w:b/>
          <w:color w:val="auto"/>
          <w:sz w:val="24"/>
          <w:lang w:eastAsia="zh-CN"/>
        </w:rPr>
        <w:t>。</w:t>
      </w:r>
    </w:p>
    <w:p>
      <w:pPr>
        <w:snapToGrid w:val="0"/>
        <w:spacing w:line="360" w:lineRule="auto"/>
        <w:ind w:firstLine="472"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6）寿光裕丰置业有限公司债权系通过公证书方式申请强制执行，依据申请执行的公证书内容可能存在瑕疵导致乙方受让债权后无法主张权利及债权未经法院判决认定导致主债权、担保及抵押债权效力无效等情形。</w:t>
      </w:r>
    </w:p>
    <w:p>
      <w:pPr>
        <w:snapToGrid w:val="0"/>
        <w:spacing w:line="360" w:lineRule="auto"/>
        <w:ind w:firstLine="472" w:firstLineChars="196"/>
        <w:rPr>
          <w:rFonts w:asciiTheme="minorEastAsia" w:hAnsiTheme="minorEastAsia" w:eastAsiaTheme="minorEastAsia"/>
          <w:b/>
          <w:sz w:val="24"/>
        </w:rPr>
      </w:pPr>
      <w:r>
        <w:rPr>
          <w:rFonts w:hint="eastAsia" w:asciiTheme="minorEastAsia" w:hAnsiTheme="minorEastAsia" w:eastAsiaTheme="minorEastAsia"/>
          <w:b/>
          <w:sz w:val="24"/>
        </w:rPr>
        <w:t>甲方对上述瑕疵或风险不发表任何判断性结论，由乙方自行作出判断并自行承担风险、责任和损失，甲方不承担任何责任。</w:t>
      </w:r>
    </w:p>
    <w:p>
      <w:pPr>
        <w:spacing w:line="360" w:lineRule="auto"/>
        <w:ind w:firstLine="480" w:firstLineChars="200"/>
        <w:rPr>
          <w:rFonts w:ascii="楷体" w:hAnsi="楷体" w:eastAsia="楷体"/>
          <w:sz w:val="24"/>
        </w:rPr>
      </w:pPr>
      <w:r>
        <w:rPr>
          <w:rFonts w:ascii="楷体" w:hAnsi="楷体" w:eastAsia="楷体"/>
          <w:sz w:val="24"/>
        </w:rPr>
        <w:t xml:space="preserve">2、 </w:t>
      </w:r>
      <w:r>
        <w:rPr>
          <w:rFonts w:hint="eastAsia" w:ascii="楷体" w:hAnsi="楷体" w:eastAsia="楷体"/>
          <w:sz w:val="24"/>
        </w:rPr>
        <w:t>拍卖人应将第</w:t>
      </w:r>
      <w:r>
        <w:rPr>
          <w:rFonts w:ascii="楷体" w:hAnsi="楷体" w:eastAsia="楷体"/>
          <w:sz w:val="24"/>
        </w:rPr>
        <w:t>1条所述的瑕疵与风险记载于其对竞买人披露的竞买须知之中，连同拍卖规则、竞买须知、《</w:t>
      </w:r>
      <w:r>
        <w:rPr>
          <w:rFonts w:hint="eastAsia" w:ascii="楷体" w:hAnsi="楷体" w:eastAsia="楷体"/>
          <w:sz w:val="24"/>
        </w:rPr>
        <w:t>资产转让协议</w:t>
      </w:r>
      <w:r>
        <w:rPr>
          <w:rFonts w:ascii="楷体" w:hAnsi="楷体" w:eastAsia="楷体"/>
          <w:sz w:val="24"/>
        </w:rPr>
        <w:t>》及其他文件一并向竞买人进行公示，告知竞买人仔细审阅，并在确认完整、全面地理解全部上述内容后参加竞买。买受人一经应价，即证明买受人已完整、全面地理解全部上述内容，并充分认知受让拍卖债权可能遭受的一切风险，受让人自愿承担由上述风险造成的一切损失以及不能获得相应预期利益的后果。</w:t>
      </w:r>
    </w:p>
    <w:p>
      <w:pPr>
        <w:spacing w:line="360" w:lineRule="auto"/>
        <w:ind w:firstLine="480" w:firstLineChars="200"/>
        <w:rPr>
          <w:rFonts w:ascii="楷体" w:hAnsi="楷体" w:eastAsia="楷体"/>
          <w:sz w:val="24"/>
        </w:rPr>
      </w:pPr>
      <w:r>
        <w:rPr>
          <w:rFonts w:ascii="楷体" w:hAnsi="楷体" w:eastAsia="楷体"/>
          <w:sz w:val="24"/>
        </w:rPr>
        <w:t>3、拍卖人确认在本协议签署之前，在签署《保密承诺函》的基础上，委托人已经向拍卖人充分展示了拍卖标的涉及的相关权属文件，由于档案管理的需要委托人不便向竞买人展示原件。因此仅向拍卖人展示原件，并由拍卖人确认复印件与原件一致无误后将相应复印件交拍卖人持有，由拍卖人向竞买人展示与原件一致的复印件，拍卖人已经充分知悉拍卖标的的来源、瑕疵和风险。除本附件说明的瑕疵及风险外，其余尚有的潜在瑕疵及风险由拍卖人及竞买人根据债权相关文件及尽职调查自行判断。</w:t>
      </w:r>
    </w:p>
    <w:p>
      <w:pPr>
        <w:spacing w:line="360" w:lineRule="auto"/>
        <w:ind w:firstLine="480" w:firstLineChars="200"/>
        <w:rPr>
          <w:rFonts w:ascii="楷体" w:hAnsi="楷体" w:eastAsia="楷体"/>
          <w:b/>
          <w:sz w:val="24"/>
          <w:u w:val="single"/>
        </w:rPr>
      </w:pPr>
      <w:r>
        <w:rPr>
          <w:rFonts w:ascii="楷体" w:hAnsi="楷体" w:eastAsia="楷体"/>
          <w:sz w:val="24"/>
        </w:rPr>
        <w:t>4、委托人与拍卖人双方签署《委托拍卖协议》，即视为委托人已经就拍卖标的的来源、瑕疵和风险向拍卖人完成了充分的披露和说明，委托人不再就拍卖标的的来源、瑕疵和风险的披露和说明承担任何责任。</w:t>
      </w:r>
      <w:r>
        <w:rPr>
          <w:rFonts w:ascii="楷体" w:hAnsi="楷体" w:eastAsia="楷体"/>
          <w:b/>
          <w:sz w:val="24"/>
          <w:u w:val="single"/>
        </w:rPr>
        <w:br w:type="page"/>
      </w:r>
    </w:p>
    <w:p>
      <w:pPr>
        <w:pStyle w:val="5"/>
        <w:tabs>
          <w:tab w:val="left" w:pos="540"/>
        </w:tabs>
        <w:spacing w:after="0" w:line="360" w:lineRule="auto"/>
        <w:ind w:left="0" w:leftChars="0"/>
        <w:rPr>
          <w:rFonts w:ascii="楷体" w:hAnsi="楷体" w:eastAsia="楷体"/>
          <w:b/>
          <w:sz w:val="24"/>
        </w:rPr>
      </w:pPr>
    </w:p>
    <w:p>
      <w:pPr>
        <w:spacing w:line="360" w:lineRule="auto"/>
        <w:jc w:val="center"/>
        <w:rPr>
          <w:rFonts w:ascii="楷体" w:hAnsi="楷体" w:eastAsia="楷体"/>
          <w:b/>
          <w:sz w:val="24"/>
        </w:rPr>
      </w:pPr>
      <w:r>
        <w:rPr>
          <w:rFonts w:hint="eastAsia" w:ascii="楷体" w:hAnsi="楷体" w:eastAsia="楷体"/>
          <w:b/>
          <w:sz w:val="24"/>
        </w:rPr>
        <w:t>附件六：保密承诺函</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rPr>
          <w:rFonts w:ascii="楷体" w:hAnsi="楷体" w:eastAsia="楷体"/>
          <w:sz w:val="24"/>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/我单位拟参加贵公司拟</w:t>
      </w:r>
      <w:r>
        <w:rPr>
          <w:rFonts w:hint="eastAsia" w:ascii="楷体" w:hAnsi="楷体" w:eastAsia="楷体"/>
          <w:sz w:val="24"/>
        </w:rPr>
        <w:t>于</w:t>
      </w:r>
      <w:r>
        <w:rPr>
          <w:rFonts w:ascii="楷体" w:hAnsi="楷体" w:eastAsia="楷体"/>
          <w:sz w:val="24"/>
          <w:u w:val="single"/>
        </w:rPr>
        <w:t>20</w:t>
      </w:r>
      <w:r>
        <w:rPr>
          <w:rFonts w:hint="eastAsia" w:ascii="楷体" w:hAnsi="楷体" w:eastAsia="楷体"/>
          <w:sz w:val="24"/>
          <w:u w:val="single"/>
        </w:rPr>
        <w:t>20年</w:t>
      </w:r>
      <w:r>
        <w:rPr>
          <w:rFonts w:ascii="楷体" w:hAnsi="楷体" w:eastAsia="楷体"/>
          <w:sz w:val="24"/>
          <w:u w:val="single"/>
        </w:rPr>
        <w:t xml:space="preserve"> </w:t>
      </w:r>
      <w:r>
        <w:rPr>
          <w:rFonts w:hint="eastAsia" w:ascii="楷体" w:hAnsi="楷体" w:eastAsia="楷体"/>
          <w:sz w:val="24"/>
          <w:u w:val="single"/>
          <w:lang w:val="en-US" w:eastAsia="zh-CN"/>
        </w:rPr>
        <w:t>6</w:t>
      </w:r>
      <w:r>
        <w:rPr>
          <w:rFonts w:ascii="楷体" w:hAnsi="楷体" w:eastAsia="楷体"/>
          <w:sz w:val="24"/>
          <w:u w:val="single"/>
        </w:rPr>
        <w:t xml:space="preserve"> </w:t>
      </w:r>
      <w:r>
        <w:rPr>
          <w:rFonts w:hint="eastAsia" w:ascii="楷体" w:hAnsi="楷体" w:eastAsia="楷体"/>
          <w:sz w:val="24"/>
          <w:u w:val="single"/>
        </w:rPr>
        <w:t>月</w:t>
      </w:r>
      <w:r>
        <w:rPr>
          <w:rFonts w:ascii="楷体" w:hAnsi="楷体" w:eastAsia="楷体"/>
          <w:sz w:val="24"/>
          <w:u w:val="single"/>
        </w:rPr>
        <w:t xml:space="preserve"> </w:t>
      </w:r>
      <w:r>
        <w:rPr>
          <w:rFonts w:hint="eastAsia" w:ascii="楷体" w:hAnsi="楷体" w:eastAsia="楷体"/>
          <w:sz w:val="24"/>
          <w:u w:val="single"/>
          <w:lang w:val="en-US" w:eastAsia="zh-CN"/>
        </w:rPr>
        <w:t>2</w:t>
      </w:r>
      <w:r>
        <w:rPr>
          <w:rFonts w:hint="eastAsia" w:ascii="楷体" w:hAnsi="楷体" w:eastAsia="楷体"/>
          <w:sz w:val="24"/>
          <w:u w:val="single"/>
        </w:rPr>
        <w:t>日</w:t>
      </w:r>
      <w:r>
        <w:rPr>
          <w:rFonts w:hint="eastAsia" w:ascii="楷体" w:hAnsi="楷体" w:eastAsia="楷体"/>
          <w:sz w:val="24"/>
          <w:u w:val="single"/>
          <w:lang w:val="en-US" w:eastAsia="zh-CN"/>
        </w:rPr>
        <w:t>上午10时</w:t>
      </w:r>
      <w:r>
        <w:rPr>
          <w:rFonts w:hint="eastAsia" w:ascii="楷体" w:hAnsi="楷体" w:eastAsia="楷体"/>
          <w:sz w:val="24"/>
        </w:rPr>
        <w:t>由</w:t>
      </w:r>
      <w:r>
        <w:rPr>
          <w:rFonts w:ascii="楷体" w:hAnsi="楷体" w:eastAsia="楷体"/>
          <w:sz w:val="24"/>
          <w:u w:val="single"/>
        </w:rPr>
        <w:t xml:space="preserve"> </w:t>
      </w:r>
      <w:r>
        <w:rPr>
          <w:rFonts w:hint="eastAsia" w:ascii="楷体" w:hAnsi="楷体" w:eastAsia="楷体"/>
          <w:sz w:val="24"/>
          <w:u w:val="single"/>
        </w:rPr>
        <w:t>光彩银星拍卖有限公司</w:t>
      </w:r>
      <w:r>
        <w:rPr>
          <w:rFonts w:hint="eastAsia" w:ascii="楷体" w:hAnsi="楷体" w:eastAsia="楷体"/>
          <w:sz w:val="24"/>
        </w:rPr>
        <w:t>举行的关于</w:t>
      </w:r>
      <w:r>
        <w:rPr>
          <w:rFonts w:hint="eastAsia" w:ascii="楷体" w:hAnsi="楷体" w:eastAsia="楷体"/>
          <w:sz w:val="24"/>
          <w:u w:val="single"/>
        </w:rPr>
        <w:t>淄博市临淄大顺置业有限公司等2户</w:t>
      </w:r>
      <w:r>
        <w:rPr>
          <w:rFonts w:hint="eastAsia" w:ascii="楷体" w:hAnsi="楷体" w:eastAsia="楷体"/>
          <w:sz w:val="24"/>
        </w:rPr>
        <w:t>债权拍卖标的的竞买，为做好竞买报价的前期调查，我</w:t>
      </w:r>
      <w:r>
        <w:rPr>
          <w:rFonts w:ascii="楷体" w:hAnsi="楷体" w:eastAsia="楷体"/>
          <w:sz w:val="24"/>
        </w:rPr>
        <w:t>/我单位需向拍卖机构查询/复印贵公司关于拍卖标的的有关权属文件，为此，特向贵公司承诺：不论是否最终参与拍卖标的的竞买，亦不论是否最终作为拍卖标的的受让人，我/我单位将严格保守有关秘密，不向任何第三方披露、泄露、散布、传播有关拍卖标的的任何信息，对于因我/我单位及我单位雇员、代理人、受我单位委托的中介机构原因导致任何保密信息泄露的，我/我单位将无条件承担全部责任，赔偿贵公司因此所遭受的一切损失和所发生的一切费用。</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2020</w:t>
      </w:r>
      <w:r>
        <w:rPr>
          <w:rFonts w:ascii="楷体" w:hAnsi="楷体" w:eastAsia="楷体"/>
          <w:sz w:val="24"/>
        </w:rPr>
        <w:t>年</w:t>
      </w:r>
      <w:r>
        <w:rPr>
          <w:rFonts w:hint="eastAsia" w:ascii="楷体" w:hAnsi="楷体" w:eastAsia="楷体"/>
          <w:sz w:val="24"/>
          <w:lang w:val="en-US" w:eastAsia="zh-CN"/>
        </w:rPr>
        <w:t>5</w:t>
      </w:r>
      <w:r>
        <w:rPr>
          <w:rFonts w:ascii="楷体" w:hAnsi="楷体" w:eastAsia="楷体"/>
          <w:sz w:val="24"/>
        </w:rPr>
        <w:t>月</w:t>
      </w:r>
      <w:r>
        <w:rPr>
          <w:rFonts w:hint="eastAsia" w:ascii="楷体" w:hAnsi="楷体" w:eastAsia="楷体"/>
          <w:sz w:val="24"/>
          <w:lang w:val="en-US" w:eastAsia="zh-CN"/>
        </w:rPr>
        <w:t>25</w:t>
      </w:r>
      <w:r>
        <w:rPr>
          <w:rFonts w:ascii="楷体" w:hAnsi="楷体" w:eastAsia="楷体"/>
          <w:sz w:val="24"/>
        </w:rPr>
        <w:t>日</w:t>
      </w:r>
    </w:p>
    <w:p>
      <w:pPr>
        <w:spacing w:line="360" w:lineRule="auto"/>
        <w:ind w:firstLine="480" w:firstLineChars="200"/>
        <w:rPr>
          <w:rFonts w:ascii="楷体" w:hAnsi="楷体" w:eastAsia="楷体"/>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jc w:val="center"/>
        <w:rPr>
          <w:rFonts w:ascii="楷体" w:hAnsi="楷体" w:eastAsia="楷体"/>
          <w:b/>
          <w:sz w:val="24"/>
        </w:rPr>
      </w:pPr>
    </w:p>
    <w:p>
      <w:pPr>
        <w:pStyle w:val="5"/>
        <w:tabs>
          <w:tab w:val="left" w:pos="540"/>
        </w:tabs>
        <w:spacing w:after="0" w:line="360" w:lineRule="auto"/>
        <w:ind w:left="0" w:leftChars="0"/>
        <w:rPr>
          <w:rFonts w:ascii="楷体" w:hAnsi="楷体" w:eastAsia="楷体"/>
          <w:b/>
          <w:sz w:val="24"/>
        </w:rPr>
      </w:pPr>
    </w:p>
    <w:p>
      <w:pPr>
        <w:tabs>
          <w:tab w:val="left" w:pos="8280"/>
        </w:tabs>
        <w:adjustRightInd w:val="0"/>
        <w:snapToGrid w:val="0"/>
        <w:spacing w:line="360" w:lineRule="auto"/>
        <w:ind w:right="-153" w:firstLine="1446" w:firstLineChars="600"/>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p>
    <w:p>
      <w:pPr>
        <w:tabs>
          <w:tab w:val="left" w:pos="8280"/>
        </w:tabs>
        <w:adjustRightInd w:val="0"/>
        <w:snapToGrid w:val="0"/>
        <w:spacing w:line="360" w:lineRule="auto"/>
        <w:ind w:right="-153"/>
        <w:jc w:val="center"/>
        <w:rPr>
          <w:rFonts w:ascii="楷体" w:hAnsi="楷体" w:eastAsia="楷体"/>
          <w:b/>
          <w:sz w:val="24"/>
        </w:rPr>
      </w:pPr>
      <w:r>
        <w:rPr>
          <w:rFonts w:hint="eastAsia" w:ascii="楷体" w:hAnsi="楷体" w:eastAsia="楷体"/>
          <w:b/>
          <w:sz w:val="24"/>
        </w:rPr>
        <w:t>附件七：竞买人参加竞买承诺书</w:t>
      </w:r>
    </w:p>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p>
    <w:p>
      <w:pPr>
        <w:spacing w:line="360" w:lineRule="auto"/>
        <w:rPr>
          <w:rFonts w:ascii="楷体" w:hAnsi="楷体" w:eastAsia="楷体"/>
          <w:sz w:val="24"/>
          <w:u w:val="single"/>
        </w:rPr>
      </w:pPr>
      <w:r>
        <w:rPr>
          <w:rFonts w:hint="eastAsia" w:ascii="楷体" w:hAnsi="楷体" w:eastAsia="楷体"/>
          <w:sz w:val="24"/>
        </w:rPr>
        <w:t>中国长城资产管理股份有限公司</w:t>
      </w:r>
      <w:r>
        <w:rPr>
          <w:rFonts w:hint="eastAsia" w:ascii="楷体" w:hAnsi="楷体" w:eastAsia="楷体"/>
          <w:sz w:val="24"/>
          <w:u w:val="single"/>
        </w:rPr>
        <w:t>山东省分公司</w:t>
      </w:r>
      <w:r>
        <w:rPr>
          <w:rFonts w:hint="eastAsia" w:ascii="楷体" w:hAnsi="楷体" w:eastAsia="楷体"/>
          <w:sz w:val="24"/>
        </w:rPr>
        <w:t>：</w:t>
      </w:r>
    </w:p>
    <w:p>
      <w:pPr>
        <w:spacing w:line="360" w:lineRule="auto"/>
        <w:rPr>
          <w:rFonts w:ascii="楷体" w:hAnsi="楷体" w:eastAsia="楷体"/>
          <w:sz w:val="24"/>
        </w:rPr>
      </w:pPr>
      <w:r>
        <w:rPr>
          <w:rFonts w:hint="eastAsia" w:ascii="楷体" w:hAnsi="楷体" w:eastAsia="楷体"/>
          <w:sz w:val="24"/>
          <w:u w:val="single"/>
        </w:rPr>
        <w:t>光彩银星拍卖有限公司</w:t>
      </w:r>
      <w:r>
        <w:rPr>
          <w:rFonts w:hint="eastAsia" w:ascii="楷体" w:hAnsi="楷体" w:eastAsia="楷体"/>
          <w:sz w:val="24"/>
        </w:rPr>
        <w:t>：</w:t>
      </w:r>
    </w:p>
    <w:p>
      <w:pPr>
        <w:spacing w:line="360" w:lineRule="auto"/>
        <w:ind w:firstLine="480" w:firstLineChars="200"/>
        <w:rPr>
          <w:rFonts w:ascii="楷体" w:hAnsi="楷体" w:eastAsia="楷体"/>
          <w:sz w:val="24"/>
        </w:rPr>
      </w:pPr>
      <w:r>
        <w:rPr>
          <w:rFonts w:hint="eastAsia" w:ascii="楷体" w:hAnsi="楷体" w:eastAsia="楷体"/>
          <w:sz w:val="24"/>
        </w:rPr>
        <w:t>我</w:t>
      </w:r>
      <w:r>
        <w:rPr>
          <w:rFonts w:ascii="楷体" w:hAnsi="楷体" w:eastAsia="楷体"/>
          <w:sz w:val="24"/>
        </w:rPr>
        <w:t>/我单位拟参加中国长城资产管理股份有限公司</w:t>
      </w:r>
      <w:r>
        <w:rPr>
          <w:rFonts w:hint="eastAsia" w:ascii="楷体" w:hAnsi="楷体" w:eastAsia="楷体"/>
          <w:sz w:val="24"/>
          <w:u w:val="single"/>
        </w:rPr>
        <w:t>山东省分公司</w:t>
      </w:r>
      <w:r>
        <w:rPr>
          <w:rFonts w:hint="eastAsia" w:ascii="楷体" w:hAnsi="楷体" w:eastAsia="楷体"/>
          <w:sz w:val="24"/>
        </w:rPr>
        <w:t>拟于</w:t>
      </w:r>
      <w:r>
        <w:rPr>
          <w:rFonts w:ascii="楷体" w:hAnsi="楷体" w:eastAsia="楷体"/>
          <w:sz w:val="24"/>
          <w:u w:val="single"/>
        </w:rPr>
        <w:t>20</w:t>
      </w:r>
      <w:r>
        <w:rPr>
          <w:rFonts w:hint="eastAsia" w:ascii="楷体" w:hAnsi="楷体" w:eastAsia="楷体"/>
          <w:sz w:val="24"/>
          <w:u w:val="single"/>
        </w:rPr>
        <w:t xml:space="preserve">20年 </w:t>
      </w:r>
      <w:r>
        <w:rPr>
          <w:rFonts w:hint="eastAsia" w:ascii="楷体" w:hAnsi="楷体" w:eastAsia="楷体"/>
          <w:sz w:val="24"/>
          <w:u w:val="single"/>
          <w:lang w:val="en-US" w:eastAsia="zh-CN"/>
        </w:rPr>
        <w:t>6</w:t>
      </w:r>
      <w:r>
        <w:rPr>
          <w:rFonts w:hint="eastAsia" w:ascii="楷体" w:hAnsi="楷体" w:eastAsia="楷体"/>
          <w:sz w:val="24"/>
          <w:u w:val="single"/>
        </w:rPr>
        <w:t xml:space="preserve"> 月</w:t>
      </w:r>
      <w:r>
        <w:rPr>
          <w:rFonts w:ascii="楷体" w:hAnsi="楷体" w:eastAsia="楷体"/>
          <w:sz w:val="24"/>
          <w:u w:val="single"/>
        </w:rPr>
        <w:t xml:space="preserve"> </w:t>
      </w:r>
      <w:r>
        <w:rPr>
          <w:rFonts w:hint="eastAsia" w:ascii="楷体" w:hAnsi="楷体" w:eastAsia="楷体"/>
          <w:sz w:val="24"/>
          <w:u w:val="single"/>
          <w:lang w:val="en-US" w:eastAsia="zh-CN"/>
        </w:rPr>
        <w:t>2</w:t>
      </w:r>
      <w:r>
        <w:rPr>
          <w:rFonts w:hint="eastAsia" w:ascii="楷体" w:hAnsi="楷体" w:eastAsia="楷体"/>
          <w:sz w:val="24"/>
          <w:u w:val="single"/>
        </w:rPr>
        <w:t>日</w:t>
      </w:r>
      <w:r>
        <w:rPr>
          <w:rFonts w:hint="eastAsia" w:ascii="楷体" w:hAnsi="楷体" w:eastAsia="楷体"/>
          <w:sz w:val="24"/>
          <w:u w:val="single"/>
          <w:lang w:val="en-US" w:eastAsia="zh-CN"/>
        </w:rPr>
        <w:t>上午10时</w:t>
      </w:r>
      <w:r>
        <w:rPr>
          <w:rFonts w:hint="eastAsia" w:ascii="楷体" w:hAnsi="楷体" w:eastAsia="楷体"/>
          <w:sz w:val="24"/>
        </w:rPr>
        <w:t>由</w:t>
      </w:r>
      <w:r>
        <w:rPr>
          <w:rFonts w:hint="eastAsia" w:ascii="楷体" w:hAnsi="楷体" w:eastAsia="楷体"/>
          <w:sz w:val="24"/>
          <w:u w:val="single"/>
        </w:rPr>
        <w:t>光彩银星拍卖有限公司</w:t>
      </w:r>
      <w:r>
        <w:rPr>
          <w:rFonts w:hint="eastAsia" w:ascii="楷体" w:hAnsi="楷体" w:eastAsia="楷体"/>
          <w:sz w:val="24"/>
        </w:rPr>
        <w:t>举行的关于</w:t>
      </w:r>
      <w:r>
        <w:rPr>
          <w:rFonts w:hint="eastAsia" w:ascii="楷体_GB2312" w:eastAsia="楷体_GB2312"/>
          <w:sz w:val="24"/>
          <w:u w:val="single"/>
        </w:rPr>
        <w:t>淄博市临淄大顺置业有限公司等2</w:t>
      </w:r>
      <w:r>
        <w:rPr>
          <w:rFonts w:hint="eastAsia" w:ascii="楷体" w:hAnsi="楷体" w:eastAsia="楷体"/>
          <w:sz w:val="24"/>
          <w:u w:val="single"/>
        </w:rPr>
        <w:t>户</w:t>
      </w:r>
      <w:r>
        <w:rPr>
          <w:rFonts w:hint="eastAsia" w:ascii="楷体" w:hAnsi="楷体" w:eastAsia="楷体"/>
          <w:sz w:val="24"/>
        </w:rPr>
        <w:t>债权拍卖标的的竞买，我</w:t>
      </w:r>
      <w:r>
        <w:rPr>
          <w:rFonts w:ascii="楷体" w:hAnsi="楷体" w:eastAsia="楷体"/>
          <w:sz w:val="24"/>
        </w:rPr>
        <w:t>/我单位已认真阅读了拍卖公告，并在办理竞买手续前仔细阅读了拍卖规则和竞买须知（包括拍卖债权的瑕疵披露及拟签署的《</w:t>
      </w:r>
      <w:r>
        <w:rPr>
          <w:rFonts w:hint="eastAsia" w:ascii="楷体" w:hAnsi="楷体" w:eastAsia="楷体"/>
          <w:sz w:val="24"/>
        </w:rPr>
        <w:t>资产转让协议</w:t>
      </w:r>
      <w:r>
        <w:rPr>
          <w:rFonts w:ascii="楷体" w:hAnsi="楷体" w:eastAsia="楷体"/>
          <w:sz w:val="24"/>
        </w:rPr>
        <w:t>》等所附材料）有关内容，并就自认为须进一步了解的问题向拍卖机构进行了咨询，我/我单位确认已全面、清楚地知悉和理解并接受拍卖公告、拍卖规则以及竞买须知的全部内容，我/我单位承诺不属于最高人民法院《关于审理涉及金融不良债权转让案件工作座谈会纪要》所规定的“国家公务员、金融监管机构工作人员、政法干警、金融资产管理公司工作人员、国有企业债务人管理人员、参与资产处置工作的律师、会计师、评估师等中介机构等关联人或者上述机构参与的非金融机构法人”等受限制的受让主体，亦不与本次“不良债权转让的金融资产管理公司工作人员、国有企业债务人或者受托资产评估机构负责人员等”存在任何直系亲属关系，若存在以上情形，我/我单位将自愿承担全部责任，赔偿中国长城资产管理股份有限公司</w:t>
      </w:r>
      <w:r>
        <w:rPr>
          <w:rFonts w:hint="eastAsia" w:ascii="楷体" w:hAnsi="楷体" w:eastAsia="楷体"/>
          <w:sz w:val="24"/>
          <w:u w:val="single"/>
        </w:rPr>
        <w:t>山东省分公司</w:t>
      </w:r>
      <w:r>
        <w:rPr>
          <w:rFonts w:hint="eastAsia" w:ascii="楷体" w:hAnsi="楷体" w:eastAsia="楷体"/>
          <w:sz w:val="24"/>
        </w:rPr>
        <w:t>以及</w:t>
      </w:r>
      <w:r>
        <w:rPr>
          <w:rFonts w:hint="eastAsia" w:ascii="楷体" w:hAnsi="楷体" w:eastAsia="楷体"/>
          <w:sz w:val="24"/>
          <w:u w:val="single"/>
        </w:rPr>
        <w:t>光彩银星拍卖有限公司</w:t>
      </w:r>
      <w:r>
        <w:rPr>
          <w:rFonts w:hint="eastAsia" w:ascii="楷体" w:hAnsi="楷体" w:eastAsia="楷体"/>
          <w:sz w:val="24"/>
        </w:rPr>
        <w:t>因此所遭受的全部损失。我</w:t>
      </w:r>
      <w:r>
        <w:rPr>
          <w:rFonts w:ascii="楷体" w:hAnsi="楷体" w:eastAsia="楷体"/>
          <w:sz w:val="24"/>
        </w:rPr>
        <w:t>/我单位进一步向中国长城资产管理股份有限公司</w:t>
      </w:r>
      <w:r>
        <w:rPr>
          <w:rFonts w:hint="eastAsia" w:ascii="楷体" w:hAnsi="楷体" w:eastAsia="楷体"/>
          <w:sz w:val="24"/>
          <w:u w:val="single"/>
        </w:rPr>
        <w:t>山东省分公司</w:t>
      </w:r>
      <w:r>
        <w:rPr>
          <w:rFonts w:hint="eastAsia" w:ascii="楷体" w:hAnsi="楷体" w:eastAsia="楷体"/>
          <w:sz w:val="24"/>
        </w:rPr>
        <w:t>承诺，在受让拍卖标的后，我</w:t>
      </w:r>
      <w:r>
        <w:rPr>
          <w:rFonts w:ascii="楷体" w:hAnsi="楷体" w:eastAsia="楷体"/>
          <w:sz w:val="24"/>
        </w:rPr>
        <w:t>/我单位将自愿独自承担拍卖标的因各种瑕疵导致的预期利益不能实现的风险或损失，不因该等瑕疵或风险而向中国长城资产管理股份有限公司公司</w:t>
      </w:r>
      <w:r>
        <w:rPr>
          <w:rFonts w:hint="eastAsia" w:ascii="楷体" w:hAnsi="楷体" w:eastAsia="楷体"/>
          <w:sz w:val="24"/>
          <w:u w:val="single"/>
        </w:rPr>
        <w:t>山东省分公司</w:t>
      </w:r>
      <w:r>
        <w:rPr>
          <w:rFonts w:hint="eastAsia" w:ascii="楷体" w:hAnsi="楷体" w:eastAsia="楷体"/>
          <w:sz w:val="24"/>
        </w:rPr>
        <w:t>及前手债权人主张任何责任。</w:t>
      </w:r>
    </w:p>
    <w:p>
      <w:pPr>
        <w:spacing w:line="360" w:lineRule="auto"/>
        <w:rPr>
          <w:rFonts w:ascii="楷体" w:hAnsi="楷体" w:eastAsia="楷体"/>
          <w:sz w:val="24"/>
        </w:rPr>
      </w:pPr>
    </w:p>
    <w:p>
      <w:pPr>
        <w:spacing w:line="360" w:lineRule="auto"/>
        <w:ind w:firstLine="480" w:firstLineChars="200"/>
        <w:rPr>
          <w:rFonts w:ascii="楷体" w:hAnsi="楷体" w:eastAsia="楷体"/>
          <w:sz w:val="24"/>
        </w:rPr>
      </w:pPr>
      <w:r>
        <w:rPr>
          <w:rFonts w:ascii="楷体" w:hAnsi="楷体" w:eastAsia="楷体"/>
          <w:sz w:val="24"/>
        </w:rPr>
        <w:t xml:space="preserve">                             承诺人：</w:t>
      </w:r>
    </w:p>
    <w:p>
      <w:pPr>
        <w:spacing w:line="360" w:lineRule="auto"/>
        <w:ind w:firstLine="480" w:firstLineChars="200"/>
        <w:rPr>
          <w:rFonts w:ascii="楷体" w:hAnsi="楷体" w:eastAsia="楷体"/>
          <w:sz w:val="24"/>
        </w:rPr>
      </w:pPr>
      <w:r>
        <w:rPr>
          <w:rFonts w:ascii="楷体" w:hAnsi="楷体" w:eastAsia="楷体"/>
          <w:sz w:val="24"/>
        </w:rPr>
        <w:t xml:space="preserve">                            （承诺人单位公章）</w:t>
      </w:r>
    </w:p>
    <w:p>
      <w:pPr>
        <w:spacing w:line="360" w:lineRule="auto"/>
        <w:ind w:firstLine="480" w:firstLineChars="200"/>
        <w:rPr>
          <w:rFonts w:ascii="楷体" w:hAnsi="楷体" w:eastAsia="楷体"/>
          <w:sz w:val="24"/>
        </w:rPr>
      </w:pPr>
      <w:r>
        <w:rPr>
          <w:rFonts w:ascii="楷体" w:hAnsi="楷体" w:eastAsia="楷体"/>
          <w:sz w:val="24"/>
        </w:rPr>
        <w:t xml:space="preserve">                                </w:t>
      </w:r>
      <w:r>
        <w:rPr>
          <w:rFonts w:hint="eastAsia" w:ascii="楷体" w:hAnsi="楷体" w:eastAsia="楷体"/>
          <w:sz w:val="24"/>
          <w:lang w:val="en-US" w:eastAsia="zh-CN"/>
        </w:rPr>
        <w:t>2020</w:t>
      </w:r>
      <w:r>
        <w:rPr>
          <w:rFonts w:ascii="楷体" w:hAnsi="楷体" w:eastAsia="楷体"/>
          <w:sz w:val="24"/>
        </w:rPr>
        <w:t>年</w:t>
      </w:r>
      <w:r>
        <w:rPr>
          <w:rFonts w:hint="eastAsia" w:ascii="楷体" w:hAnsi="楷体" w:eastAsia="楷体"/>
          <w:sz w:val="24"/>
          <w:lang w:val="en-US" w:eastAsia="zh-CN"/>
        </w:rPr>
        <w:t>5</w:t>
      </w:r>
      <w:r>
        <w:rPr>
          <w:rFonts w:ascii="楷体" w:hAnsi="楷体" w:eastAsia="楷体"/>
          <w:sz w:val="24"/>
        </w:rPr>
        <w:t>月</w:t>
      </w:r>
      <w:r>
        <w:rPr>
          <w:rFonts w:hint="eastAsia" w:ascii="楷体" w:hAnsi="楷体" w:eastAsia="楷体"/>
          <w:sz w:val="24"/>
          <w:lang w:val="en-US" w:eastAsia="zh-CN"/>
        </w:rPr>
        <w:t>25</w:t>
      </w:r>
      <w:r>
        <w:rPr>
          <w:rFonts w:ascii="楷体" w:hAnsi="楷体" w:eastAsia="楷体"/>
          <w:sz w:val="24"/>
        </w:rPr>
        <w:t>日</w:t>
      </w:r>
    </w:p>
    <w:p>
      <w:pPr>
        <w:spacing w:line="360" w:lineRule="auto"/>
        <w:ind w:firstLine="420" w:firstLineChars="200"/>
      </w:pPr>
    </w:p>
    <w:sectPr>
      <w:headerReference r:id="rId6" w:type="default"/>
      <w:footerReference r:id="rId7"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p>
  <w:p>
    <w:pPr>
      <w:pStyle w:val="7"/>
      <w:jc w:val="both"/>
      <w:rPr>
        <w:rFonts w:ascii="楷体_GB2312" w:eastAsia="楷体_GB2312"/>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ascii="仿宋_GB2312" w:eastAsia="仿宋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chineseCountingThousand"/>
      <w:pStyle w:val="17"/>
      <w:lvlText w:val="第%1条"/>
      <w:lvlJc w:val="left"/>
      <w:pPr>
        <w:tabs>
          <w:tab w:val="left" w:pos="720"/>
        </w:tabs>
        <w:ind w:left="425" w:hanging="425"/>
      </w:pPr>
      <w:rPr>
        <w:rFonts w:hint="eastAsia" w:ascii="华文细黑" w:hAnsi="华文细黑" w:eastAsia="华文细黑"/>
        <w:b/>
        <w:i w:val="0"/>
        <w:sz w:val="22"/>
        <w:szCs w:val="22"/>
      </w:rPr>
    </w:lvl>
    <w:lvl w:ilvl="1" w:tentative="0">
      <w:start w:val="1"/>
      <w:numFmt w:val="decimal"/>
      <w:pStyle w:val="15"/>
      <w:isLgl/>
      <w:lvlText w:val="%1.%2"/>
      <w:lvlJc w:val="left"/>
      <w:pPr>
        <w:tabs>
          <w:tab w:val="left" w:pos="2160"/>
        </w:tabs>
        <w:ind w:left="2007" w:hanging="567"/>
      </w:pPr>
      <w:rPr>
        <w:rFonts w:hint="eastAsia" w:ascii="华文细黑" w:hAnsi="华文细黑" w:eastAsia="华文细黑"/>
        <w:b w:val="0"/>
        <w:color w:val="000000"/>
        <w:sz w:val="22"/>
        <w:szCs w:val="22"/>
      </w:rPr>
    </w:lvl>
    <w:lvl w:ilvl="2" w:tentative="0">
      <w:start w:val="1"/>
      <w:numFmt w:val="decimal"/>
      <w:pStyle w:val="19"/>
      <w:isLgl/>
      <w:lvlText w:val="%1.%2.%3"/>
      <w:lvlJc w:val="left"/>
      <w:pPr>
        <w:tabs>
          <w:tab w:val="left" w:pos="1969"/>
        </w:tabs>
        <w:ind w:left="1969" w:hanging="709"/>
      </w:pPr>
    </w:lvl>
    <w:lvl w:ilvl="3" w:tentative="0">
      <w:start w:val="1"/>
      <w:numFmt w:val="decimal"/>
      <w:pStyle w:val="20"/>
      <w:isLg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53208E"/>
    <w:multiLevelType w:val="multilevel"/>
    <w:tmpl w:val="0053208E"/>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7"/>
  <w:drawingGridVerticalSpacing w:val="159"/>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DF"/>
    <w:rsid w:val="00004588"/>
    <w:rsid w:val="000106CB"/>
    <w:rsid w:val="00011B22"/>
    <w:rsid w:val="00017025"/>
    <w:rsid w:val="00017BE0"/>
    <w:rsid w:val="00021C29"/>
    <w:rsid w:val="00027EF9"/>
    <w:rsid w:val="000330D5"/>
    <w:rsid w:val="0003575B"/>
    <w:rsid w:val="00041F5A"/>
    <w:rsid w:val="00045778"/>
    <w:rsid w:val="00052CA2"/>
    <w:rsid w:val="0006012E"/>
    <w:rsid w:val="00067E5E"/>
    <w:rsid w:val="000741ED"/>
    <w:rsid w:val="000851A2"/>
    <w:rsid w:val="00087D0E"/>
    <w:rsid w:val="00092224"/>
    <w:rsid w:val="000A113B"/>
    <w:rsid w:val="000A5675"/>
    <w:rsid w:val="000A6040"/>
    <w:rsid w:val="000A656E"/>
    <w:rsid w:val="000B20FA"/>
    <w:rsid w:val="000D13C2"/>
    <w:rsid w:val="000D36FD"/>
    <w:rsid w:val="000D572D"/>
    <w:rsid w:val="000E7784"/>
    <w:rsid w:val="000F02F3"/>
    <w:rsid w:val="00101B9E"/>
    <w:rsid w:val="0010481E"/>
    <w:rsid w:val="001052AE"/>
    <w:rsid w:val="00117211"/>
    <w:rsid w:val="00122907"/>
    <w:rsid w:val="00122B80"/>
    <w:rsid w:val="00136505"/>
    <w:rsid w:val="00137122"/>
    <w:rsid w:val="00143CF3"/>
    <w:rsid w:val="00145BE2"/>
    <w:rsid w:val="00151DF7"/>
    <w:rsid w:val="00155372"/>
    <w:rsid w:val="00161D95"/>
    <w:rsid w:val="00164193"/>
    <w:rsid w:val="00167944"/>
    <w:rsid w:val="00167D6F"/>
    <w:rsid w:val="00172A27"/>
    <w:rsid w:val="00176A57"/>
    <w:rsid w:val="001828CA"/>
    <w:rsid w:val="00184F82"/>
    <w:rsid w:val="001A1031"/>
    <w:rsid w:val="001A1BA6"/>
    <w:rsid w:val="001A2E03"/>
    <w:rsid w:val="001A355B"/>
    <w:rsid w:val="001A54FD"/>
    <w:rsid w:val="001B322B"/>
    <w:rsid w:val="001B3662"/>
    <w:rsid w:val="001D0591"/>
    <w:rsid w:val="001D2A93"/>
    <w:rsid w:val="001E390B"/>
    <w:rsid w:val="001E3D22"/>
    <w:rsid w:val="00203994"/>
    <w:rsid w:val="00207D93"/>
    <w:rsid w:val="00216681"/>
    <w:rsid w:val="00221CF8"/>
    <w:rsid w:val="00225B7C"/>
    <w:rsid w:val="002269FA"/>
    <w:rsid w:val="0023049A"/>
    <w:rsid w:val="002317A6"/>
    <w:rsid w:val="0023480D"/>
    <w:rsid w:val="0023490B"/>
    <w:rsid w:val="00242099"/>
    <w:rsid w:val="002528B9"/>
    <w:rsid w:val="00254234"/>
    <w:rsid w:val="00261FC1"/>
    <w:rsid w:val="00262D0B"/>
    <w:rsid w:val="00263696"/>
    <w:rsid w:val="002671DC"/>
    <w:rsid w:val="00271902"/>
    <w:rsid w:val="00273C0D"/>
    <w:rsid w:val="00274CC5"/>
    <w:rsid w:val="00274FF2"/>
    <w:rsid w:val="00275C84"/>
    <w:rsid w:val="002763F1"/>
    <w:rsid w:val="00277AEA"/>
    <w:rsid w:val="00285843"/>
    <w:rsid w:val="00286B98"/>
    <w:rsid w:val="00294CDF"/>
    <w:rsid w:val="002A09EC"/>
    <w:rsid w:val="002A1516"/>
    <w:rsid w:val="002A3774"/>
    <w:rsid w:val="002A6CFD"/>
    <w:rsid w:val="002B0E7E"/>
    <w:rsid w:val="002C16F3"/>
    <w:rsid w:val="002C3560"/>
    <w:rsid w:val="002C40C0"/>
    <w:rsid w:val="002D1C5F"/>
    <w:rsid w:val="002F5B52"/>
    <w:rsid w:val="00315A47"/>
    <w:rsid w:val="00325AB8"/>
    <w:rsid w:val="00332372"/>
    <w:rsid w:val="003330EE"/>
    <w:rsid w:val="003409D1"/>
    <w:rsid w:val="003429C2"/>
    <w:rsid w:val="00343DB7"/>
    <w:rsid w:val="003450AF"/>
    <w:rsid w:val="00350D93"/>
    <w:rsid w:val="00355C0E"/>
    <w:rsid w:val="00356E8F"/>
    <w:rsid w:val="00364006"/>
    <w:rsid w:val="00371314"/>
    <w:rsid w:val="003750A5"/>
    <w:rsid w:val="003758BA"/>
    <w:rsid w:val="00377C9C"/>
    <w:rsid w:val="003861C0"/>
    <w:rsid w:val="00397FF0"/>
    <w:rsid w:val="003A4041"/>
    <w:rsid w:val="003B4B6D"/>
    <w:rsid w:val="003C2AB7"/>
    <w:rsid w:val="003C7FC3"/>
    <w:rsid w:val="003D0F55"/>
    <w:rsid w:val="003E174F"/>
    <w:rsid w:val="004054B0"/>
    <w:rsid w:val="004077E0"/>
    <w:rsid w:val="00416643"/>
    <w:rsid w:val="0043778D"/>
    <w:rsid w:val="00463492"/>
    <w:rsid w:val="004667B4"/>
    <w:rsid w:val="00473FEC"/>
    <w:rsid w:val="004806F7"/>
    <w:rsid w:val="00481CE7"/>
    <w:rsid w:val="0048409A"/>
    <w:rsid w:val="00485575"/>
    <w:rsid w:val="00487977"/>
    <w:rsid w:val="00494C15"/>
    <w:rsid w:val="004967E1"/>
    <w:rsid w:val="004A1BC9"/>
    <w:rsid w:val="004B6B88"/>
    <w:rsid w:val="004B7D21"/>
    <w:rsid w:val="004C1A75"/>
    <w:rsid w:val="004C1E09"/>
    <w:rsid w:val="004C23D2"/>
    <w:rsid w:val="004C36FC"/>
    <w:rsid w:val="004C3BC4"/>
    <w:rsid w:val="004D6E86"/>
    <w:rsid w:val="004E70A3"/>
    <w:rsid w:val="004F292A"/>
    <w:rsid w:val="004F5A08"/>
    <w:rsid w:val="00522FE2"/>
    <w:rsid w:val="00535DC3"/>
    <w:rsid w:val="00541766"/>
    <w:rsid w:val="00542914"/>
    <w:rsid w:val="00542F85"/>
    <w:rsid w:val="00543A18"/>
    <w:rsid w:val="00544F34"/>
    <w:rsid w:val="00556B0C"/>
    <w:rsid w:val="00557F9C"/>
    <w:rsid w:val="005640EE"/>
    <w:rsid w:val="00570C58"/>
    <w:rsid w:val="0057587E"/>
    <w:rsid w:val="00582CCB"/>
    <w:rsid w:val="005838FF"/>
    <w:rsid w:val="005840A6"/>
    <w:rsid w:val="00584241"/>
    <w:rsid w:val="00587147"/>
    <w:rsid w:val="00590E90"/>
    <w:rsid w:val="005945AB"/>
    <w:rsid w:val="00595753"/>
    <w:rsid w:val="005978C0"/>
    <w:rsid w:val="005A3BB1"/>
    <w:rsid w:val="005A5EEA"/>
    <w:rsid w:val="005A68AC"/>
    <w:rsid w:val="005B5F2E"/>
    <w:rsid w:val="005B6157"/>
    <w:rsid w:val="005C113B"/>
    <w:rsid w:val="005C57F0"/>
    <w:rsid w:val="005C62DD"/>
    <w:rsid w:val="005D2EBF"/>
    <w:rsid w:val="005D2FAA"/>
    <w:rsid w:val="005D79EC"/>
    <w:rsid w:val="005E3E06"/>
    <w:rsid w:val="005E4C79"/>
    <w:rsid w:val="005F20FE"/>
    <w:rsid w:val="005F2482"/>
    <w:rsid w:val="005F4EBC"/>
    <w:rsid w:val="005F74AF"/>
    <w:rsid w:val="005F7948"/>
    <w:rsid w:val="00605BE9"/>
    <w:rsid w:val="006173F4"/>
    <w:rsid w:val="00623547"/>
    <w:rsid w:val="00634CBC"/>
    <w:rsid w:val="00640A3B"/>
    <w:rsid w:val="006420FC"/>
    <w:rsid w:val="006529D3"/>
    <w:rsid w:val="00656430"/>
    <w:rsid w:val="006812AD"/>
    <w:rsid w:val="0068367E"/>
    <w:rsid w:val="0069345C"/>
    <w:rsid w:val="006A02C9"/>
    <w:rsid w:val="006A305A"/>
    <w:rsid w:val="006A3394"/>
    <w:rsid w:val="006C27E3"/>
    <w:rsid w:val="006D727F"/>
    <w:rsid w:val="006E19ED"/>
    <w:rsid w:val="006F346D"/>
    <w:rsid w:val="007002D7"/>
    <w:rsid w:val="00707DF5"/>
    <w:rsid w:val="00710E99"/>
    <w:rsid w:val="00714B2D"/>
    <w:rsid w:val="00725BAC"/>
    <w:rsid w:val="00731994"/>
    <w:rsid w:val="0073649A"/>
    <w:rsid w:val="007414F5"/>
    <w:rsid w:val="00743470"/>
    <w:rsid w:val="00743CCC"/>
    <w:rsid w:val="00766F6C"/>
    <w:rsid w:val="00776C81"/>
    <w:rsid w:val="007803D7"/>
    <w:rsid w:val="00782B26"/>
    <w:rsid w:val="00787BF8"/>
    <w:rsid w:val="00795881"/>
    <w:rsid w:val="0079791A"/>
    <w:rsid w:val="007A3592"/>
    <w:rsid w:val="007A5B43"/>
    <w:rsid w:val="007C385D"/>
    <w:rsid w:val="007C57CB"/>
    <w:rsid w:val="007D2DE8"/>
    <w:rsid w:val="007D655F"/>
    <w:rsid w:val="007E5F22"/>
    <w:rsid w:val="007F1A03"/>
    <w:rsid w:val="007F1F99"/>
    <w:rsid w:val="007F63E0"/>
    <w:rsid w:val="0080250E"/>
    <w:rsid w:val="00807811"/>
    <w:rsid w:val="008115DC"/>
    <w:rsid w:val="008138E8"/>
    <w:rsid w:val="008226D9"/>
    <w:rsid w:val="00826120"/>
    <w:rsid w:val="0083032E"/>
    <w:rsid w:val="00837B7C"/>
    <w:rsid w:val="00860E4F"/>
    <w:rsid w:val="00863CC0"/>
    <w:rsid w:val="0086621D"/>
    <w:rsid w:val="00870735"/>
    <w:rsid w:val="008726DF"/>
    <w:rsid w:val="0088772B"/>
    <w:rsid w:val="00890FDB"/>
    <w:rsid w:val="008A7BF7"/>
    <w:rsid w:val="008B1F04"/>
    <w:rsid w:val="008B44FE"/>
    <w:rsid w:val="008B57AB"/>
    <w:rsid w:val="008B6E6D"/>
    <w:rsid w:val="008C4541"/>
    <w:rsid w:val="008D34A4"/>
    <w:rsid w:val="008E00CA"/>
    <w:rsid w:val="008E1AB6"/>
    <w:rsid w:val="008E250C"/>
    <w:rsid w:val="008E2DC1"/>
    <w:rsid w:val="008F04A8"/>
    <w:rsid w:val="008F5F99"/>
    <w:rsid w:val="00902752"/>
    <w:rsid w:val="00903A43"/>
    <w:rsid w:val="00904D8E"/>
    <w:rsid w:val="009056E2"/>
    <w:rsid w:val="0090670E"/>
    <w:rsid w:val="009152DD"/>
    <w:rsid w:val="00916050"/>
    <w:rsid w:val="00916912"/>
    <w:rsid w:val="009208C9"/>
    <w:rsid w:val="00920A58"/>
    <w:rsid w:val="00920FE4"/>
    <w:rsid w:val="00925D12"/>
    <w:rsid w:val="00926EAA"/>
    <w:rsid w:val="00941E23"/>
    <w:rsid w:val="00953F1A"/>
    <w:rsid w:val="009562E0"/>
    <w:rsid w:val="0096296B"/>
    <w:rsid w:val="0097418D"/>
    <w:rsid w:val="00987512"/>
    <w:rsid w:val="00987AFE"/>
    <w:rsid w:val="00994801"/>
    <w:rsid w:val="00996147"/>
    <w:rsid w:val="009B2149"/>
    <w:rsid w:val="009C3CA9"/>
    <w:rsid w:val="009C62DC"/>
    <w:rsid w:val="009D35A3"/>
    <w:rsid w:val="009D5B05"/>
    <w:rsid w:val="009E3D09"/>
    <w:rsid w:val="009E3D2D"/>
    <w:rsid w:val="009E5273"/>
    <w:rsid w:val="009E691F"/>
    <w:rsid w:val="009F1E3B"/>
    <w:rsid w:val="009F2758"/>
    <w:rsid w:val="00A10E8C"/>
    <w:rsid w:val="00A14B70"/>
    <w:rsid w:val="00A15A33"/>
    <w:rsid w:val="00A22C3F"/>
    <w:rsid w:val="00A24E5A"/>
    <w:rsid w:val="00A379D4"/>
    <w:rsid w:val="00A51963"/>
    <w:rsid w:val="00A51CB8"/>
    <w:rsid w:val="00A5632C"/>
    <w:rsid w:val="00A64C0F"/>
    <w:rsid w:val="00A66A95"/>
    <w:rsid w:val="00A80420"/>
    <w:rsid w:val="00A825FE"/>
    <w:rsid w:val="00A85780"/>
    <w:rsid w:val="00A876FC"/>
    <w:rsid w:val="00AA108B"/>
    <w:rsid w:val="00AA11B1"/>
    <w:rsid w:val="00AA24F3"/>
    <w:rsid w:val="00AA7F21"/>
    <w:rsid w:val="00AB79C4"/>
    <w:rsid w:val="00AC43A7"/>
    <w:rsid w:val="00AD012F"/>
    <w:rsid w:val="00AD7F51"/>
    <w:rsid w:val="00AE730F"/>
    <w:rsid w:val="00AF4A56"/>
    <w:rsid w:val="00AF5F5E"/>
    <w:rsid w:val="00B21961"/>
    <w:rsid w:val="00B21D16"/>
    <w:rsid w:val="00B24564"/>
    <w:rsid w:val="00B250E0"/>
    <w:rsid w:val="00B31B33"/>
    <w:rsid w:val="00B32E6D"/>
    <w:rsid w:val="00B3518C"/>
    <w:rsid w:val="00B4013C"/>
    <w:rsid w:val="00B45FD7"/>
    <w:rsid w:val="00B520CA"/>
    <w:rsid w:val="00B54FE0"/>
    <w:rsid w:val="00B56F2E"/>
    <w:rsid w:val="00B638DD"/>
    <w:rsid w:val="00B73E26"/>
    <w:rsid w:val="00B749CF"/>
    <w:rsid w:val="00B8256D"/>
    <w:rsid w:val="00B96926"/>
    <w:rsid w:val="00BA20F2"/>
    <w:rsid w:val="00BB0FF3"/>
    <w:rsid w:val="00BB3D28"/>
    <w:rsid w:val="00BC3072"/>
    <w:rsid w:val="00BD14D5"/>
    <w:rsid w:val="00BD2C9A"/>
    <w:rsid w:val="00BD7EA2"/>
    <w:rsid w:val="00BF3233"/>
    <w:rsid w:val="00BF50FA"/>
    <w:rsid w:val="00C014BD"/>
    <w:rsid w:val="00C01E21"/>
    <w:rsid w:val="00C04C1C"/>
    <w:rsid w:val="00C05CF8"/>
    <w:rsid w:val="00C06A60"/>
    <w:rsid w:val="00C06FE2"/>
    <w:rsid w:val="00C13F8F"/>
    <w:rsid w:val="00C21E0E"/>
    <w:rsid w:val="00C320FF"/>
    <w:rsid w:val="00C323C4"/>
    <w:rsid w:val="00C459C0"/>
    <w:rsid w:val="00C47829"/>
    <w:rsid w:val="00C55D8D"/>
    <w:rsid w:val="00C6439A"/>
    <w:rsid w:val="00C81371"/>
    <w:rsid w:val="00C83982"/>
    <w:rsid w:val="00C85B89"/>
    <w:rsid w:val="00C87465"/>
    <w:rsid w:val="00CA4B9C"/>
    <w:rsid w:val="00CA598F"/>
    <w:rsid w:val="00CC0696"/>
    <w:rsid w:val="00CC0B45"/>
    <w:rsid w:val="00CC1032"/>
    <w:rsid w:val="00CC718C"/>
    <w:rsid w:val="00CD16A8"/>
    <w:rsid w:val="00CD4241"/>
    <w:rsid w:val="00CD5749"/>
    <w:rsid w:val="00CD7766"/>
    <w:rsid w:val="00CF416F"/>
    <w:rsid w:val="00CF5917"/>
    <w:rsid w:val="00CF6D25"/>
    <w:rsid w:val="00D05B26"/>
    <w:rsid w:val="00D061BC"/>
    <w:rsid w:val="00D06A11"/>
    <w:rsid w:val="00D208E2"/>
    <w:rsid w:val="00D26C41"/>
    <w:rsid w:val="00D34A06"/>
    <w:rsid w:val="00D373E4"/>
    <w:rsid w:val="00D37DE2"/>
    <w:rsid w:val="00D40243"/>
    <w:rsid w:val="00D51BE0"/>
    <w:rsid w:val="00D56666"/>
    <w:rsid w:val="00D56834"/>
    <w:rsid w:val="00D56A2A"/>
    <w:rsid w:val="00D603C2"/>
    <w:rsid w:val="00D63081"/>
    <w:rsid w:val="00D63118"/>
    <w:rsid w:val="00D761CA"/>
    <w:rsid w:val="00D866BB"/>
    <w:rsid w:val="00D94F3E"/>
    <w:rsid w:val="00DA2606"/>
    <w:rsid w:val="00DA30A2"/>
    <w:rsid w:val="00DA7851"/>
    <w:rsid w:val="00DB15B6"/>
    <w:rsid w:val="00DB6D16"/>
    <w:rsid w:val="00DC2982"/>
    <w:rsid w:val="00DC420C"/>
    <w:rsid w:val="00DD3AB7"/>
    <w:rsid w:val="00DE0135"/>
    <w:rsid w:val="00DE4EA6"/>
    <w:rsid w:val="00DE6C6A"/>
    <w:rsid w:val="00E011B0"/>
    <w:rsid w:val="00E01D93"/>
    <w:rsid w:val="00E04E95"/>
    <w:rsid w:val="00E069C8"/>
    <w:rsid w:val="00E17425"/>
    <w:rsid w:val="00E304E9"/>
    <w:rsid w:val="00E30BBE"/>
    <w:rsid w:val="00E30E22"/>
    <w:rsid w:val="00E41128"/>
    <w:rsid w:val="00E47DFA"/>
    <w:rsid w:val="00E51D01"/>
    <w:rsid w:val="00E64C1D"/>
    <w:rsid w:val="00E65F62"/>
    <w:rsid w:val="00E66777"/>
    <w:rsid w:val="00E743A5"/>
    <w:rsid w:val="00E84FB8"/>
    <w:rsid w:val="00E97908"/>
    <w:rsid w:val="00EB1096"/>
    <w:rsid w:val="00EC0E93"/>
    <w:rsid w:val="00EC2D1E"/>
    <w:rsid w:val="00EC36F9"/>
    <w:rsid w:val="00EC6AE9"/>
    <w:rsid w:val="00EC7D2F"/>
    <w:rsid w:val="00ED42DD"/>
    <w:rsid w:val="00ED6A32"/>
    <w:rsid w:val="00EE360E"/>
    <w:rsid w:val="00EF3650"/>
    <w:rsid w:val="00F008A6"/>
    <w:rsid w:val="00F01186"/>
    <w:rsid w:val="00F02BD0"/>
    <w:rsid w:val="00F1229F"/>
    <w:rsid w:val="00F1794C"/>
    <w:rsid w:val="00F22307"/>
    <w:rsid w:val="00F2358A"/>
    <w:rsid w:val="00F2476D"/>
    <w:rsid w:val="00F25B2B"/>
    <w:rsid w:val="00F25F77"/>
    <w:rsid w:val="00F26A36"/>
    <w:rsid w:val="00F32580"/>
    <w:rsid w:val="00F4389E"/>
    <w:rsid w:val="00F43908"/>
    <w:rsid w:val="00F476CB"/>
    <w:rsid w:val="00F54B69"/>
    <w:rsid w:val="00F56473"/>
    <w:rsid w:val="00F64FA4"/>
    <w:rsid w:val="00F65486"/>
    <w:rsid w:val="00F84CA7"/>
    <w:rsid w:val="00F85DEA"/>
    <w:rsid w:val="00F9757E"/>
    <w:rsid w:val="00FA2F22"/>
    <w:rsid w:val="00FB61E3"/>
    <w:rsid w:val="00FC3579"/>
    <w:rsid w:val="00FC37F0"/>
    <w:rsid w:val="00FC4B95"/>
    <w:rsid w:val="00FC764C"/>
    <w:rsid w:val="00FD3790"/>
    <w:rsid w:val="00FD6D8C"/>
    <w:rsid w:val="00FE1BB4"/>
    <w:rsid w:val="00FF657B"/>
    <w:rsid w:val="00FF7D77"/>
    <w:rsid w:val="01456804"/>
    <w:rsid w:val="032219DA"/>
    <w:rsid w:val="041736F8"/>
    <w:rsid w:val="04615C2B"/>
    <w:rsid w:val="05764D8B"/>
    <w:rsid w:val="058D30FF"/>
    <w:rsid w:val="065930CD"/>
    <w:rsid w:val="065D6B52"/>
    <w:rsid w:val="07324868"/>
    <w:rsid w:val="07554F5D"/>
    <w:rsid w:val="07B54263"/>
    <w:rsid w:val="08A90513"/>
    <w:rsid w:val="098C30A7"/>
    <w:rsid w:val="09A455C6"/>
    <w:rsid w:val="09CC250D"/>
    <w:rsid w:val="0A1C23A5"/>
    <w:rsid w:val="0A216FA6"/>
    <w:rsid w:val="0B232118"/>
    <w:rsid w:val="0B596BEE"/>
    <w:rsid w:val="0B944E75"/>
    <w:rsid w:val="0BCA79D6"/>
    <w:rsid w:val="0C937AC4"/>
    <w:rsid w:val="0CF3453C"/>
    <w:rsid w:val="0FB651A4"/>
    <w:rsid w:val="0FD625E0"/>
    <w:rsid w:val="10A94424"/>
    <w:rsid w:val="10AB1B5F"/>
    <w:rsid w:val="10D45C33"/>
    <w:rsid w:val="12450EF3"/>
    <w:rsid w:val="13094EA9"/>
    <w:rsid w:val="14EA0BEA"/>
    <w:rsid w:val="16543DE1"/>
    <w:rsid w:val="1716423B"/>
    <w:rsid w:val="17F710B1"/>
    <w:rsid w:val="18302C7C"/>
    <w:rsid w:val="184B7833"/>
    <w:rsid w:val="18677E3E"/>
    <w:rsid w:val="187B0475"/>
    <w:rsid w:val="19B63BBA"/>
    <w:rsid w:val="1A3D3426"/>
    <w:rsid w:val="1AB9254B"/>
    <w:rsid w:val="1ABF7A46"/>
    <w:rsid w:val="1AFB33FF"/>
    <w:rsid w:val="1B0B4838"/>
    <w:rsid w:val="1BDE7B06"/>
    <w:rsid w:val="1C04463E"/>
    <w:rsid w:val="1D372720"/>
    <w:rsid w:val="1FD66B8E"/>
    <w:rsid w:val="200E7DCB"/>
    <w:rsid w:val="213C67DD"/>
    <w:rsid w:val="21F51BD8"/>
    <w:rsid w:val="22F9131A"/>
    <w:rsid w:val="23AA7984"/>
    <w:rsid w:val="23F51F75"/>
    <w:rsid w:val="24BD133F"/>
    <w:rsid w:val="250256D2"/>
    <w:rsid w:val="25035C69"/>
    <w:rsid w:val="2507195A"/>
    <w:rsid w:val="25074D53"/>
    <w:rsid w:val="25EA3A37"/>
    <w:rsid w:val="26763B98"/>
    <w:rsid w:val="27446AB8"/>
    <w:rsid w:val="28AF075C"/>
    <w:rsid w:val="29EC1914"/>
    <w:rsid w:val="2B4E3890"/>
    <w:rsid w:val="2B7E0AFF"/>
    <w:rsid w:val="2C27788B"/>
    <w:rsid w:val="2D276006"/>
    <w:rsid w:val="2D562F1B"/>
    <w:rsid w:val="2D625795"/>
    <w:rsid w:val="2DF556E6"/>
    <w:rsid w:val="2EE26E41"/>
    <w:rsid w:val="2F71138D"/>
    <w:rsid w:val="2F937767"/>
    <w:rsid w:val="30B036F1"/>
    <w:rsid w:val="31BA3721"/>
    <w:rsid w:val="32CB63AA"/>
    <w:rsid w:val="330F3C36"/>
    <w:rsid w:val="33547639"/>
    <w:rsid w:val="35E56AFE"/>
    <w:rsid w:val="3672211E"/>
    <w:rsid w:val="36E75D76"/>
    <w:rsid w:val="38B32DB7"/>
    <w:rsid w:val="38C74D76"/>
    <w:rsid w:val="39DD21E0"/>
    <w:rsid w:val="3AD567EB"/>
    <w:rsid w:val="3ADF5D4F"/>
    <w:rsid w:val="3AEE3176"/>
    <w:rsid w:val="3B1E5576"/>
    <w:rsid w:val="3B4723C3"/>
    <w:rsid w:val="3CD81619"/>
    <w:rsid w:val="3D7071E3"/>
    <w:rsid w:val="3D7F369F"/>
    <w:rsid w:val="3D974139"/>
    <w:rsid w:val="3DE41F68"/>
    <w:rsid w:val="3DFA0EBD"/>
    <w:rsid w:val="3DFC4662"/>
    <w:rsid w:val="3E323286"/>
    <w:rsid w:val="3E911633"/>
    <w:rsid w:val="409944E4"/>
    <w:rsid w:val="40A557D8"/>
    <w:rsid w:val="40DA1DD9"/>
    <w:rsid w:val="420A3149"/>
    <w:rsid w:val="44275AFE"/>
    <w:rsid w:val="44E1563C"/>
    <w:rsid w:val="45711242"/>
    <w:rsid w:val="45A12C45"/>
    <w:rsid w:val="463C3FF7"/>
    <w:rsid w:val="467C1B7A"/>
    <w:rsid w:val="46DD3121"/>
    <w:rsid w:val="47893A2F"/>
    <w:rsid w:val="47A264A2"/>
    <w:rsid w:val="4833212D"/>
    <w:rsid w:val="486341C3"/>
    <w:rsid w:val="49236EBD"/>
    <w:rsid w:val="49EC44C2"/>
    <w:rsid w:val="4A005941"/>
    <w:rsid w:val="4B87513B"/>
    <w:rsid w:val="4CA65B60"/>
    <w:rsid w:val="4DB63494"/>
    <w:rsid w:val="4E2F6BF3"/>
    <w:rsid w:val="4E3F4D67"/>
    <w:rsid w:val="4F2B0AF0"/>
    <w:rsid w:val="4F976567"/>
    <w:rsid w:val="51B2633D"/>
    <w:rsid w:val="51E9413E"/>
    <w:rsid w:val="529C7064"/>
    <w:rsid w:val="53CD175D"/>
    <w:rsid w:val="53D3446C"/>
    <w:rsid w:val="544E74B9"/>
    <w:rsid w:val="55250A54"/>
    <w:rsid w:val="55DA5845"/>
    <w:rsid w:val="56254A7E"/>
    <w:rsid w:val="5838270C"/>
    <w:rsid w:val="58BA7D2C"/>
    <w:rsid w:val="59156952"/>
    <w:rsid w:val="59922A02"/>
    <w:rsid w:val="5ABD4497"/>
    <w:rsid w:val="5B0E19B0"/>
    <w:rsid w:val="5C87779D"/>
    <w:rsid w:val="5CD14BB0"/>
    <w:rsid w:val="5DE31A8A"/>
    <w:rsid w:val="5E7508DB"/>
    <w:rsid w:val="5EE47B70"/>
    <w:rsid w:val="5F6547F1"/>
    <w:rsid w:val="5FD833CE"/>
    <w:rsid w:val="60A000D2"/>
    <w:rsid w:val="61A636CF"/>
    <w:rsid w:val="62AD6E4A"/>
    <w:rsid w:val="62B373EB"/>
    <w:rsid w:val="63766BE7"/>
    <w:rsid w:val="64480AAB"/>
    <w:rsid w:val="64696138"/>
    <w:rsid w:val="653D011A"/>
    <w:rsid w:val="677F24F2"/>
    <w:rsid w:val="67CB3027"/>
    <w:rsid w:val="67CD21C7"/>
    <w:rsid w:val="689A24DC"/>
    <w:rsid w:val="68AD5E78"/>
    <w:rsid w:val="6960019F"/>
    <w:rsid w:val="69F763DB"/>
    <w:rsid w:val="6BEA5B87"/>
    <w:rsid w:val="6DF13742"/>
    <w:rsid w:val="6F0846F0"/>
    <w:rsid w:val="6F171B2E"/>
    <w:rsid w:val="6F935D76"/>
    <w:rsid w:val="6FA40B44"/>
    <w:rsid w:val="6FA53ECC"/>
    <w:rsid w:val="7038463C"/>
    <w:rsid w:val="704740CE"/>
    <w:rsid w:val="707347C0"/>
    <w:rsid w:val="70BB0CC4"/>
    <w:rsid w:val="714D09B9"/>
    <w:rsid w:val="721361FE"/>
    <w:rsid w:val="724B7E97"/>
    <w:rsid w:val="73C42536"/>
    <w:rsid w:val="74130586"/>
    <w:rsid w:val="74D57949"/>
    <w:rsid w:val="75E91765"/>
    <w:rsid w:val="76E37B8E"/>
    <w:rsid w:val="7A033DE2"/>
    <w:rsid w:val="7ACF0AF2"/>
    <w:rsid w:val="7CAD48D2"/>
    <w:rsid w:val="7D511249"/>
    <w:rsid w:val="7D5C3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numPr>
        <w:ilvl w:val="0"/>
        <w:numId w:val="1"/>
      </w:numPr>
      <w:spacing w:line="380" w:lineRule="atLeast"/>
      <w:ind w:firstLine="540"/>
      <w:outlineLvl w:val="0"/>
    </w:pPr>
    <w:rPr>
      <w:rFonts w:eastAsia="楷体_GB2312"/>
      <w:b/>
      <w:bCs/>
      <w:color w:val="000000"/>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jc w:val="left"/>
    </w:pPr>
  </w:style>
  <w:style w:type="paragraph" w:styleId="4">
    <w:name w:val="Body Text Indent"/>
    <w:basedOn w:val="1"/>
    <w:qFormat/>
    <w:uiPriority w:val="0"/>
    <w:pPr>
      <w:spacing w:line="360" w:lineRule="auto"/>
      <w:ind w:left="360"/>
    </w:pPr>
    <w:rPr>
      <w:rFonts w:ascii="宋体"/>
      <w:sz w:val="24"/>
      <w:szCs w:val="20"/>
    </w:r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unhideWhenUsed/>
    <w:qFormat/>
    <w:uiPriority w:val="99"/>
    <w:rPr>
      <w:b/>
      <w:bCs/>
    </w:rPr>
  </w:style>
  <w:style w:type="character" w:styleId="12">
    <w:name w:val="page number"/>
    <w:basedOn w:val="11"/>
    <w:qFormat/>
    <w:uiPriority w:val="0"/>
  </w:style>
  <w:style w:type="character" w:styleId="13">
    <w:name w:val="annotation reference"/>
    <w:unhideWhenUsed/>
    <w:qFormat/>
    <w:uiPriority w:val="99"/>
    <w:rPr>
      <w:sz w:val="21"/>
      <w:szCs w:val="21"/>
    </w:rPr>
  </w:style>
  <w:style w:type="paragraph" w:customStyle="1" w:styleId="14">
    <w:name w:val="_Style 18"/>
    <w:semiHidden/>
    <w:qFormat/>
    <w:uiPriority w:val="99"/>
    <w:rPr>
      <w:rFonts w:ascii="Times New Roman" w:hAnsi="Times New Roman" w:eastAsia="宋体" w:cs="Times New Roman"/>
      <w:kern w:val="2"/>
      <w:sz w:val="21"/>
      <w:szCs w:val="24"/>
      <w:lang w:val="en-US" w:eastAsia="zh-CN" w:bidi="ar-SA"/>
    </w:rPr>
  </w:style>
  <w:style w:type="paragraph" w:customStyle="1" w:styleId="15">
    <w:name w:val="NT二级目录"/>
    <w:basedOn w:val="1"/>
    <w:qFormat/>
    <w:uiPriority w:val="0"/>
    <w:pPr>
      <w:widowControl/>
      <w:numPr>
        <w:ilvl w:val="1"/>
        <w:numId w:val="2"/>
      </w:numPr>
      <w:tabs>
        <w:tab w:val="left" w:pos="720"/>
        <w:tab w:val="clear" w:pos="2160"/>
      </w:tabs>
      <w:spacing w:afterLines="20" w:line="480" w:lineRule="exact"/>
      <w:ind w:left="720" w:hanging="720"/>
    </w:pPr>
    <w:rPr>
      <w:rFonts w:ascii="华文细黑" w:hAnsi="华文细黑" w:eastAsia="华文细黑"/>
      <w:sz w:val="22"/>
      <w:szCs w:val="22"/>
    </w:rPr>
  </w:style>
  <w:style w:type="paragraph" w:customStyle="1" w:styleId="16">
    <w:name w:val="Char"/>
    <w:basedOn w:val="1"/>
    <w:qFormat/>
    <w:uiPriority w:val="0"/>
  </w:style>
  <w:style w:type="paragraph" w:customStyle="1" w:styleId="17">
    <w:name w:val="NT一级目录"/>
    <w:basedOn w:val="1"/>
    <w:qFormat/>
    <w:uiPriority w:val="0"/>
    <w:pPr>
      <w:numPr>
        <w:ilvl w:val="0"/>
        <w:numId w:val="2"/>
      </w:numPr>
      <w:tabs>
        <w:tab w:val="left" w:pos="1080"/>
        <w:tab w:val="clear" w:pos="720"/>
      </w:tabs>
      <w:spacing w:beforeLines="100" w:afterLines="50" w:line="480" w:lineRule="exact"/>
      <w:ind w:left="1077" w:hanging="1077"/>
      <w:outlineLvl w:val="0"/>
    </w:pPr>
    <w:rPr>
      <w:rFonts w:ascii="华文细黑" w:hAnsi="华文细黑" w:eastAsia="华文细黑"/>
      <w:b/>
      <w:sz w:val="22"/>
      <w:szCs w:val="22"/>
    </w:rPr>
  </w:style>
  <w:style w:type="paragraph" w:customStyle="1" w:styleId="18">
    <w:name w:val="默认段落字体 Para Char Char Char Char Char Char Char"/>
    <w:basedOn w:val="1"/>
    <w:qFormat/>
    <w:uiPriority w:val="0"/>
    <w:rPr>
      <w:rFonts w:ascii="Tahoma" w:hAnsi="Tahoma"/>
      <w:sz w:val="24"/>
      <w:szCs w:val="20"/>
    </w:rPr>
  </w:style>
  <w:style w:type="paragraph" w:customStyle="1" w:styleId="19">
    <w:name w:val="NT三级目录"/>
    <w:basedOn w:val="1"/>
    <w:link w:val="21"/>
    <w:qFormat/>
    <w:uiPriority w:val="0"/>
    <w:pPr>
      <w:widowControl/>
      <w:numPr>
        <w:ilvl w:val="2"/>
        <w:numId w:val="2"/>
      </w:numPr>
      <w:tabs>
        <w:tab w:val="left" w:pos="720"/>
        <w:tab w:val="clear" w:pos="1969"/>
      </w:tabs>
      <w:spacing w:afterLines="20" w:line="480" w:lineRule="exact"/>
      <w:ind w:left="720" w:hanging="720"/>
    </w:pPr>
    <w:rPr>
      <w:rFonts w:ascii="华文细黑" w:hAnsi="华文细黑" w:eastAsia="华文细黑"/>
      <w:sz w:val="22"/>
      <w:szCs w:val="22"/>
    </w:rPr>
  </w:style>
  <w:style w:type="paragraph" w:customStyle="1" w:styleId="20">
    <w:name w:val="NT四级目录"/>
    <w:basedOn w:val="19"/>
    <w:qFormat/>
    <w:uiPriority w:val="0"/>
    <w:pPr>
      <w:numPr>
        <w:ilvl w:val="3"/>
      </w:numPr>
      <w:tabs>
        <w:tab w:val="left" w:pos="360"/>
        <w:tab w:val="left" w:pos="1800"/>
        <w:tab w:val="left" w:pos="2160"/>
      </w:tabs>
      <w:ind w:left="1800" w:hanging="1080"/>
    </w:pPr>
  </w:style>
  <w:style w:type="character" w:customStyle="1" w:styleId="21">
    <w:name w:val="NT三级目录 Char Char"/>
    <w:link w:val="19"/>
    <w:qFormat/>
    <w:uiPriority w:val="0"/>
    <w:rPr>
      <w:rFonts w:ascii="华文细黑" w:hAnsi="华文细黑" w:eastAsia="华文细黑"/>
      <w:kern w:val="2"/>
      <w:sz w:val="22"/>
      <w:szCs w:val="22"/>
      <w:lang w:val="en-US" w:eastAsia="zh-CN" w:bidi="ar-SA"/>
    </w:rPr>
  </w:style>
  <w:style w:type="character" w:customStyle="1" w:styleId="22">
    <w:name w:val="批注主题 Char"/>
    <w:link w:val="9"/>
    <w:semiHidden/>
    <w:qFormat/>
    <w:uiPriority w:val="99"/>
    <w:rPr>
      <w:b/>
      <w:bCs/>
      <w:kern w:val="2"/>
      <w:sz w:val="21"/>
      <w:szCs w:val="24"/>
    </w:rPr>
  </w:style>
  <w:style w:type="character" w:customStyle="1" w:styleId="23">
    <w:name w:val="标题 1 Char"/>
    <w:link w:val="2"/>
    <w:qFormat/>
    <w:uiPriority w:val="0"/>
    <w:rPr>
      <w:rFonts w:eastAsia="楷体_GB2312"/>
      <w:b/>
      <w:bCs/>
      <w:color w:val="000000"/>
      <w:kern w:val="2"/>
      <w:sz w:val="24"/>
      <w:szCs w:val="24"/>
      <w:lang w:val="en-US" w:eastAsia="zh-CN" w:bidi="ar-SA"/>
    </w:rPr>
  </w:style>
  <w:style w:type="character" w:customStyle="1" w:styleId="24">
    <w:name w:val="批注文字 Char"/>
    <w:link w:val="3"/>
    <w:semiHidden/>
    <w:qFormat/>
    <w:uiPriority w:val="99"/>
    <w:rPr>
      <w:kern w:val="2"/>
      <w:sz w:val="21"/>
      <w:szCs w:val="24"/>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3172</Words>
  <Characters>18081</Characters>
  <Lines>150</Lines>
  <Paragraphs>42</Paragraphs>
  <TotalTime>1</TotalTime>
  <ScaleCrop>false</ScaleCrop>
  <LinksUpToDate>false</LinksUpToDate>
  <CharactersWithSpaces>21211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2018-10-08T02:24:00Z</dcterms:created>
  <dc:creator>孟新</dc:creator>
  <cp:lastModifiedBy>hongl</cp:lastModifiedBy>
  <cp:lastPrinted>2015-06-08T07:22:00Z</cp:lastPrinted>
  <dcterms:modified xsi:type="dcterms:W3CDTF">2020-05-25T02:08:12Z</dcterms:modified>
  <dc:title>编号：中长资（　　）合字［　　］      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