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就【中国长城资产管理股份有限公司【山东】省分公司的</w:t>
      </w:r>
      <w:r>
        <w:rPr>
          <w:rFonts w:hint="eastAsia" w:ascii="仿宋" w:hAnsi="仿宋" w:eastAsia="仿宋"/>
          <w:sz w:val="24"/>
          <w:lang w:eastAsia="zh-CN"/>
        </w:rPr>
        <w:t>拥有的</w:t>
      </w:r>
      <w:bookmarkStart w:id="0" w:name="_GoBack"/>
      <w:bookmarkEnd w:id="0"/>
      <w:r>
        <w:rPr>
          <w:rFonts w:hint="eastAsia" w:ascii="仿宋" w:hAnsi="仿宋" w:eastAsia="仿宋"/>
          <w:sz w:val="24"/>
          <w:u w:val="single"/>
          <w:lang w:eastAsia="zh-CN"/>
        </w:rPr>
        <w:t>菏泽上亿商业管理有限公司等9户债权</w:t>
      </w:r>
      <w:r>
        <w:rPr>
          <w:rFonts w:hint="eastAsia" w:ascii="仿宋" w:hAnsi="仿宋" w:eastAsia="仿宋"/>
          <w:sz w:val="24"/>
        </w:rPr>
        <w:t>】项目（下称“项目”），承诺人（以下简称“我方”）将接触中国长城资产管理股份有限公司【山东】省分公司（以下简称“长城公司”）的相关保密信息，为了保护长城的商业利益，我方特作如下承诺：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何信息，包括但不限于：（1）长城公司以口头或者其他形式，向我方提供的有关长城公司或本项目的一切非公开的文件及其他资料；（2）对我方或我方代表人员制作的包含或有关上述资料的书面备忘录、笔记、分析、报告、汇编和研究资料等；（3）上述资料的全部复制件或录音资料等；（4）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 xml:space="preserve">11.2  本承诺书自书面终止通知到达对方时终止。凡在本承诺书终止前由于我方违约致使长城公司遭受的损失，长城公司仍有权提出索赔，不受本承诺终止的影响。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30033A7"/>
    <w:rsid w:val="08E53B28"/>
    <w:rsid w:val="21F20B5A"/>
    <w:rsid w:val="2783673B"/>
    <w:rsid w:val="331E73CB"/>
    <w:rsid w:val="34E962BA"/>
    <w:rsid w:val="51E22F88"/>
    <w:rsid w:val="7256093B"/>
    <w:rsid w:val="757D45D0"/>
    <w:rsid w:val="7B911550"/>
    <w:rsid w:val="7E2B34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3</TotalTime>
  <ScaleCrop>false</ScaleCrop>
  <LinksUpToDate>false</LinksUpToDate>
  <CharactersWithSpaces>3430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Administrator</cp:lastModifiedBy>
  <dcterms:modified xsi:type="dcterms:W3CDTF">2019-09-20T15:52:00Z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